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8CA5" w14:textId="77777777" w:rsidR="007F51A0" w:rsidRPr="008A7887" w:rsidRDefault="007F51A0" w:rsidP="007F51A0">
      <w:pPr>
        <w:jc w:val="both"/>
        <w:rPr>
          <w:rFonts w:ascii="Calibri" w:eastAsia="Calibri" w:hAnsi="Calibri" w:cs="Times New Roman"/>
        </w:rPr>
      </w:pPr>
      <w:r w:rsidRPr="008A7887">
        <w:rPr>
          <w:rFonts w:ascii="Calibri" w:eastAsia="Calibri" w:hAnsi="Calibri" w:cs="Times New Roman"/>
          <w:noProof/>
          <w:lang w:val="en-GB" w:eastAsia="en-GB"/>
        </w:rPr>
        <w:drawing>
          <wp:anchor distT="0" distB="0" distL="114300" distR="114300" simplePos="0" relativeHeight="251659264" behindDoc="0" locked="0" layoutInCell="1" allowOverlap="1" wp14:anchorId="29D5EF86" wp14:editId="0F529EE8">
            <wp:simplePos x="0" y="0"/>
            <wp:positionH relativeFrom="page">
              <wp:posOffset>850900</wp:posOffset>
            </wp:positionH>
            <wp:positionV relativeFrom="paragraph">
              <wp:posOffset>-401955</wp:posOffset>
            </wp:positionV>
            <wp:extent cx="1893570" cy="828040"/>
            <wp:effectExtent l="0" t="0" r="0" b="0"/>
            <wp:wrapNone/>
            <wp:docPr id="8" name="Afbeelding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1E066033" w14:textId="77777777" w:rsidR="007F51A0" w:rsidRPr="008A7887" w:rsidRDefault="007F51A0" w:rsidP="007F51A0">
      <w:pPr>
        <w:jc w:val="both"/>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7F51A0" w:rsidRPr="008D4B8C" w14:paraId="1AD270E6" w14:textId="77777777" w:rsidTr="002611E9">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75A5383A"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Expédition délivrée le</w:t>
            </w:r>
          </w:p>
          <w:p w14:paraId="5E6AEFA5" w14:textId="77777777" w:rsidR="007F51A0" w:rsidRPr="008D4B8C" w:rsidRDefault="007F51A0" w:rsidP="002611E9">
            <w:pPr>
              <w:jc w:val="both"/>
              <w:rPr>
                <w:rFonts w:asciiTheme="minorHAnsi" w:eastAsia="SimSun" w:hAnsiTheme="minorHAnsi" w:cstheme="minorHAnsi"/>
                <w:color w:val="808080"/>
                <w:sz w:val="20"/>
                <w:szCs w:val="18"/>
                <w:lang w:eastAsia="zh-CN"/>
              </w:rPr>
            </w:pPr>
          </w:p>
          <w:p w14:paraId="47788068"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à</w:t>
            </w:r>
          </w:p>
          <w:p w14:paraId="74E2EC19" w14:textId="77777777" w:rsidR="007F51A0" w:rsidRPr="008D4B8C" w:rsidRDefault="007F51A0" w:rsidP="002611E9">
            <w:pPr>
              <w:jc w:val="both"/>
              <w:rPr>
                <w:rFonts w:asciiTheme="minorHAnsi" w:eastAsia="SimSun" w:hAnsiTheme="minorHAnsi" w:cstheme="minorHAnsi"/>
                <w:color w:val="808080"/>
                <w:sz w:val="20"/>
                <w:szCs w:val="18"/>
                <w:lang w:eastAsia="zh-CN"/>
              </w:rPr>
            </w:pPr>
          </w:p>
          <w:p w14:paraId="40885E83"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Me</w:t>
            </w:r>
          </w:p>
          <w:p w14:paraId="4A9EA2ED"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 xml:space="preserve">Reg. </w:t>
            </w:r>
            <w:proofErr w:type="spellStart"/>
            <w:r w:rsidRPr="008D4B8C">
              <w:rPr>
                <w:rFonts w:asciiTheme="minorHAnsi" w:eastAsia="SimSun" w:hAnsiTheme="minorHAnsi" w:cstheme="minorHAnsi"/>
                <w:color w:val="808080"/>
                <w:sz w:val="20"/>
                <w:szCs w:val="18"/>
                <w:lang w:eastAsia="zh-CN"/>
              </w:rPr>
              <w:t>Expéd</w:t>
            </w:r>
            <w:proofErr w:type="spellEnd"/>
            <w:r w:rsidRPr="008D4B8C">
              <w:rPr>
                <w:rFonts w:asciiTheme="minorHAnsi" w:eastAsia="SimSun" w:hAnsiTheme="minorHAnsi" w:cstheme="minorHAnsi"/>
                <w:color w:val="808080"/>
                <w:sz w:val="20"/>
                <w:szCs w:val="18"/>
                <w:lang w:eastAsia="zh-CN"/>
              </w:rPr>
              <w:t>. n°</w:t>
            </w:r>
          </w:p>
          <w:p w14:paraId="42DD480C"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 xml:space="preserve">Droits </w:t>
            </w:r>
            <w:proofErr w:type="spellStart"/>
            <w:r w:rsidRPr="008D4B8C">
              <w:rPr>
                <w:rFonts w:asciiTheme="minorHAnsi" w:eastAsia="SimSun" w:hAnsiTheme="minorHAnsi" w:cstheme="minorHAnsi"/>
                <w:color w:val="808080"/>
                <w:sz w:val="20"/>
                <w:szCs w:val="18"/>
                <w:lang w:eastAsia="zh-CN"/>
              </w:rPr>
              <w:t>acquités</w:t>
            </w:r>
            <w:proofErr w:type="spellEnd"/>
            <w:r w:rsidRPr="008D4B8C">
              <w:rPr>
                <w:rFonts w:asciiTheme="minorHAnsi" w:eastAsia="SimSun" w:hAnsiTheme="minorHAnsi" w:cstheme="minorHAnsi"/>
                <w:color w:val="808080"/>
                <w:sz w:val="20"/>
                <w:szCs w:val="18"/>
                <w:lang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3E21C80E"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Expédition délivrée le</w:t>
            </w:r>
          </w:p>
          <w:p w14:paraId="310496CE" w14:textId="77777777" w:rsidR="007F51A0" w:rsidRPr="008D4B8C" w:rsidRDefault="007F51A0" w:rsidP="002611E9">
            <w:pPr>
              <w:jc w:val="both"/>
              <w:rPr>
                <w:rFonts w:asciiTheme="minorHAnsi" w:eastAsia="SimSun" w:hAnsiTheme="minorHAnsi" w:cstheme="minorHAnsi"/>
                <w:color w:val="808080"/>
                <w:sz w:val="20"/>
                <w:szCs w:val="18"/>
                <w:lang w:eastAsia="zh-CN"/>
              </w:rPr>
            </w:pPr>
          </w:p>
          <w:p w14:paraId="181A2EE3"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à</w:t>
            </w:r>
          </w:p>
          <w:p w14:paraId="3F8569F8" w14:textId="77777777" w:rsidR="007F51A0" w:rsidRPr="008D4B8C" w:rsidRDefault="007F51A0" w:rsidP="002611E9">
            <w:pPr>
              <w:jc w:val="both"/>
              <w:rPr>
                <w:rFonts w:asciiTheme="minorHAnsi" w:eastAsia="SimSun" w:hAnsiTheme="minorHAnsi" w:cstheme="minorHAnsi"/>
                <w:color w:val="808080"/>
                <w:sz w:val="20"/>
                <w:szCs w:val="18"/>
                <w:lang w:eastAsia="zh-CN"/>
              </w:rPr>
            </w:pPr>
          </w:p>
          <w:p w14:paraId="7C3F2F13"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Me</w:t>
            </w:r>
          </w:p>
          <w:p w14:paraId="1EFDDFE5" w14:textId="77777777" w:rsidR="007F51A0" w:rsidRPr="008D4B8C" w:rsidRDefault="007F51A0" w:rsidP="002611E9">
            <w:pPr>
              <w:jc w:val="both"/>
              <w:rPr>
                <w:rFonts w:asciiTheme="minorHAnsi" w:eastAsia="SimSun" w:hAnsiTheme="minorHAnsi" w:cstheme="minorHAnsi"/>
                <w:color w:val="808080"/>
                <w:sz w:val="20"/>
                <w:szCs w:val="18"/>
                <w:lang w:eastAsia="zh-CN"/>
              </w:rPr>
            </w:pPr>
            <w:r w:rsidRPr="008D4B8C">
              <w:rPr>
                <w:rFonts w:asciiTheme="minorHAnsi" w:eastAsia="SimSun" w:hAnsiTheme="minorHAnsi" w:cstheme="minorHAnsi"/>
                <w:color w:val="808080"/>
                <w:sz w:val="20"/>
                <w:szCs w:val="18"/>
                <w:lang w:eastAsia="zh-CN"/>
              </w:rPr>
              <w:t xml:space="preserve">Reg. </w:t>
            </w:r>
            <w:proofErr w:type="spellStart"/>
            <w:r w:rsidRPr="008D4B8C">
              <w:rPr>
                <w:rFonts w:asciiTheme="minorHAnsi" w:eastAsia="SimSun" w:hAnsiTheme="minorHAnsi" w:cstheme="minorHAnsi"/>
                <w:color w:val="808080"/>
                <w:sz w:val="20"/>
                <w:szCs w:val="18"/>
                <w:lang w:eastAsia="zh-CN"/>
              </w:rPr>
              <w:t>Expéd</w:t>
            </w:r>
            <w:proofErr w:type="spellEnd"/>
            <w:r w:rsidRPr="008D4B8C">
              <w:rPr>
                <w:rFonts w:asciiTheme="minorHAnsi" w:eastAsia="SimSun" w:hAnsiTheme="minorHAnsi" w:cstheme="minorHAnsi"/>
                <w:color w:val="808080"/>
                <w:sz w:val="20"/>
                <w:szCs w:val="18"/>
                <w:lang w:eastAsia="zh-CN"/>
              </w:rPr>
              <w:t>. n°</w:t>
            </w:r>
          </w:p>
          <w:p w14:paraId="0C830E90" w14:textId="77777777" w:rsidR="007F51A0" w:rsidRPr="008D4B8C" w:rsidRDefault="007F51A0" w:rsidP="002611E9">
            <w:pPr>
              <w:jc w:val="both"/>
              <w:rPr>
                <w:rFonts w:asciiTheme="minorHAnsi" w:eastAsia="SimSun" w:hAnsiTheme="minorHAnsi" w:cstheme="minorHAnsi"/>
                <w:color w:val="808080"/>
                <w:sz w:val="20"/>
                <w:szCs w:val="8"/>
                <w:lang w:eastAsia="zh-CN"/>
              </w:rPr>
            </w:pPr>
            <w:r w:rsidRPr="008D4B8C">
              <w:rPr>
                <w:rFonts w:asciiTheme="minorHAnsi" w:eastAsia="SimSun" w:hAnsiTheme="minorHAnsi" w:cstheme="minorHAnsi"/>
                <w:color w:val="808080"/>
                <w:sz w:val="20"/>
                <w:szCs w:val="18"/>
                <w:lang w:eastAsia="zh-CN"/>
              </w:rPr>
              <w:t xml:space="preserve">Droits </w:t>
            </w:r>
            <w:proofErr w:type="spellStart"/>
            <w:r w:rsidRPr="008D4B8C">
              <w:rPr>
                <w:rFonts w:asciiTheme="minorHAnsi" w:eastAsia="SimSun" w:hAnsiTheme="minorHAnsi" w:cstheme="minorHAnsi"/>
                <w:color w:val="808080"/>
                <w:sz w:val="20"/>
                <w:szCs w:val="18"/>
                <w:lang w:eastAsia="zh-CN"/>
              </w:rPr>
              <w:t>acquités</w:t>
            </w:r>
            <w:proofErr w:type="spellEnd"/>
            <w:r w:rsidRPr="008D4B8C">
              <w:rPr>
                <w:rFonts w:asciiTheme="minorHAnsi" w:eastAsia="SimSun" w:hAnsiTheme="minorHAnsi" w:cstheme="minorHAnsi"/>
                <w:color w:val="808080"/>
                <w:sz w:val="20"/>
                <w:szCs w:val="18"/>
                <w:lang w:eastAsia="zh-CN"/>
              </w:rPr>
              <w:t xml:space="preserve"> :</w:t>
            </w:r>
          </w:p>
        </w:tc>
      </w:tr>
    </w:tbl>
    <w:p w14:paraId="1641DF14" w14:textId="77777777" w:rsidR="007F51A0" w:rsidRPr="008D4B8C" w:rsidRDefault="007F51A0" w:rsidP="007F51A0">
      <w:pPr>
        <w:spacing w:line="260" w:lineRule="atLeast"/>
        <w:jc w:val="both"/>
        <w:rPr>
          <w:rFonts w:asciiTheme="minorHAnsi" w:eastAsia="SimSun" w:hAnsiTheme="minorHAnsi" w:cstheme="minorHAnsi"/>
          <w:b/>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7F51A0" w:rsidRPr="008D4B8C" w14:paraId="5628A606" w14:textId="77777777" w:rsidTr="002611E9">
        <w:trPr>
          <w:trHeight w:val="846"/>
        </w:trPr>
        <w:tc>
          <w:tcPr>
            <w:tcW w:w="3085" w:type="dxa"/>
            <w:tcBorders>
              <w:top w:val="single" w:sz="4" w:space="0" w:color="auto"/>
              <w:left w:val="single" w:sz="4" w:space="0" w:color="auto"/>
              <w:bottom w:val="single" w:sz="4" w:space="0" w:color="auto"/>
              <w:right w:val="single" w:sz="4" w:space="0" w:color="auto"/>
            </w:tcBorders>
          </w:tcPr>
          <w:p w14:paraId="7817CC97" w14:textId="77777777" w:rsidR="007F51A0" w:rsidRPr="008D4B8C" w:rsidRDefault="007F51A0" w:rsidP="002611E9">
            <w:pPr>
              <w:ind w:right="252"/>
              <w:jc w:val="both"/>
              <w:rPr>
                <w:rFonts w:asciiTheme="minorHAnsi" w:eastAsia="Calibri" w:hAnsiTheme="minorHAnsi" w:cstheme="minorHAnsi"/>
                <w:sz w:val="22"/>
                <w:szCs w:val="20"/>
              </w:rPr>
            </w:pPr>
            <w:r w:rsidRPr="008D4B8C">
              <w:rPr>
                <w:rFonts w:asciiTheme="minorHAnsi" w:hAnsiTheme="minorHAnsi" w:cstheme="minorHAnsi"/>
                <w:sz w:val="22"/>
                <w:szCs w:val="20"/>
              </w:rPr>
              <w:t>Numéro de répertoire</w:t>
            </w:r>
            <w:r>
              <w:rPr>
                <w:rFonts w:asciiTheme="minorHAnsi" w:hAnsiTheme="minorHAnsi" w:cstheme="minorHAnsi"/>
                <w:sz w:val="22"/>
                <w:szCs w:val="20"/>
              </w:rPr>
              <w:t xml:space="preserve"> </w:t>
            </w:r>
            <w:r w:rsidRPr="008D4B8C">
              <w:rPr>
                <w:rFonts w:asciiTheme="minorHAnsi" w:hAnsiTheme="minorHAnsi" w:cstheme="minorHAnsi"/>
                <w:sz w:val="22"/>
                <w:szCs w:val="20"/>
              </w:rPr>
              <w:t>:</w:t>
            </w:r>
          </w:p>
          <w:p w14:paraId="4410C440" w14:textId="77777777" w:rsidR="007F51A0" w:rsidRPr="008D4B8C" w:rsidRDefault="007F51A0" w:rsidP="002611E9">
            <w:pPr>
              <w:ind w:right="252"/>
              <w:jc w:val="both"/>
              <w:rPr>
                <w:rFonts w:asciiTheme="minorHAnsi" w:hAnsiTheme="minorHAnsi" w:cstheme="minorHAnsi"/>
                <w:b/>
                <w:bCs/>
                <w:sz w:val="22"/>
                <w:szCs w:val="20"/>
              </w:rPr>
            </w:pPr>
            <w:r w:rsidRPr="008D4B8C">
              <w:rPr>
                <w:rFonts w:asciiTheme="minorHAnsi" w:hAnsiTheme="minorHAnsi" w:cstheme="minorHAnsi"/>
                <w:b/>
                <w:bCs/>
                <w:sz w:val="22"/>
                <w:szCs w:val="20"/>
              </w:rPr>
              <w:fldChar w:fldCharType="begin"/>
            </w:r>
            <w:r w:rsidRPr="008D4B8C">
              <w:rPr>
                <w:rFonts w:asciiTheme="minorHAnsi" w:hAnsiTheme="minorHAnsi" w:cstheme="minorHAnsi"/>
                <w:b/>
                <w:bCs/>
                <w:sz w:val="22"/>
                <w:szCs w:val="20"/>
              </w:rPr>
              <w:instrText xml:space="preserve"> TIME  \@ "yyyy" </w:instrText>
            </w:r>
            <w:r w:rsidRPr="008D4B8C">
              <w:rPr>
                <w:rFonts w:asciiTheme="minorHAnsi" w:hAnsiTheme="minorHAnsi" w:cstheme="minorHAnsi"/>
                <w:b/>
                <w:bCs/>
                <w:sz w:val="22"/>
                <w:szCs w:val="20"/>
              </w:rPr>
              <w:fldChar w:fldCharType="separate"/>
            </w:r>
            <w:r w:rsidR="003052F2">
              <w:rPr>
                <w:rFonts w:asciiTheme="minorHAnsi" w:hAnsiTheme="minorHAnsi" w:cstheme="minorHAnsi"/>
                <w:b/>
                <w:bCs/>
                <w:noProof/>
                <w:sz w:val="22"/>
                <w:szCs w:val="20"/>
              </w:rPr>
              <w:t>2022</w:t>
            </w:r>
            <w:r w:rsidRPr="008D4B8C">
              <w:rPr>
                <w:rFonts w:asciiTheme="minorHAnsi" w:hAnsiTheme="minorHAnsi" w:cstheme="minorHAnsi"/>
                <w:b/>
                <w:bCs/>
                <w:sz w:val="22"/>
                <w:szCs w:val="20"/>
              </w:rPr>
              <w:fldChar w:fldCharType="end"/>
            </w:r>
            <w:r w:rsidRPr="008D4B8C">
              <w:rPr>
                <w:rFonts w:asciiTheme="minorHAnsi" w:hAnsiTheme="minorHAnsi" w:cstheme="minorHAnsi"/>
                <w:b/>
                <w:bCs/>
                <w:sz w:val="22"/>
                <w:szCs w:val="20"/>
              </w:rPr>
              <w:t xml:space="preserve"> /</w:t>
            </w:r>
          </w:p>
          <w:p w14:paraId="5245ADC8" w14:textId="77777777" w:rsidR="007F51A0" w:rsidRPr="008D4B8C" w:rsidRDefault="007F51A0" w:rsidP="002611E9">
            <w:pPr>
              <w:jc w:val="both"/>
              <w:rPr>
                <w:rFonts w:asciiTheme="minorHAnsi" w:hAnsiTheme="minorHAnsi" w:cstheme="minorHAnsi"/>
                <w:sz w:val="22"/>
                <w:szCs w:val="20"/>
              </w:rPr>
            </w:pPr>
          </w:p>
        </w:tc>
      </w:tr>
      <w:tr w:rsidR="007F51A0" w:rsidRPr="008D4B8C" w14:paraId="080B0086" w14:textId="77777777" w:rsidTr="002611E9">
        <w:tc>
          <w:tcPr>
            <w:tcW w:w="3085" w:type="dxa"/>
            <w:tcBorders>
              <w:top w:val="single" w:sz="4" w:space="0" w:color="auto"/>
              <w:left w:val="single" w:sz="4" w:space="0" w:color="auto"/>
              <w:bottom w:val="single" w:sz="4" w:space="0" w:color="auto"/>
              <w:right w:val="single" w:sz="4" w:space="0" w:color="auto"/>
            </w:tcBorders>
          </w:tcPr>
          <w:p w14:paraId="7076223F" w14:textId="77777777" w:rsidR="007F51A0" w:rsidRPr="008D4B8C" w:rsidRDefault="007F51A0" w:rsidP="002611E9">
            <w:pPr>
              <w:ind w:right="252"/>
              <w:jc w:val="both"/>
              <w:rPr>
                <w:rFonts w:asciiTheme="minorHAnsi" w:hAnsiTheme="minorHAnsi" w:cstheme="minorHAnsi"/>
                <w:sz w:val="22"/>
                <w:szCs w:val="20"/>
              </w:rPr>
            </w:pPr>
            <w:r w:rsidRPr="008D4B8C">
              <w:rPr>
                <w:rFonts w:asciiTheme="minorHAnsi" w:hAnsiTheme="minorHAnsi" w:cstheme="minorHAnsi"/>
                <w:sz w:val="22"/>
                <w:szCs w:val="20"/>
              </w:rPr>
              <w:t>Date du prononcé</w:t>
            </w:r>
            <w:r>
              <w:rPr>
                <w:rFonts w:asciiTheme="minorHAnsi" w:hAnsiTheme="minorHAnsi" w:cstheme="minorHAnsi"/>
                <w:sz w:val="22"/>
                <w:szCs w:val="20"/>
              </w:rPr>
              <w:t xml:space="preserve"> </w:t>
            </w:r>
            <w:r w:rsidRPr="008D4B8C">
              <w:rPr>
                <w:rFonts w:asciiTheme="minorHAnsi" w:hAnsiTheme="minorHAnsi" w:cstheme="minorHAnsi"/>
                <w:sz w:val="22"/>
                <w:szCs w:val="20"/>
              </w:rPr>
              <w:t>:</w:t>
            </w:r>
          </w:p>
          <w:p w14:paraId="7F0CC491" w14:textId="77777777" w:rsidR="007F51A0" w:rsidRPr="00262344" w:rsidRDefault="003A7C48" w:rsidP="002611E9">
            <w:pPr>
              <w:pStyle w:val="Arreststandaard"/>
              <w:rPr>
                <w:rFonts w:asciiTheme="minorHAnsi" w:hAnsiTheme="minorHAnsi" w:cstheme="minorHAnsi"/>
                <w:b/>
                <w:bCs/>
                <w:szCs w:val="22"/>
                <w:lang w:val="fr-FR"/>
              </w:rPr>
            </w:pPr>
            <w:bookmarkStart w:id="0" w:name="Datum"/>
            <w:bookmarkEnd w:id="0"/>
            <w:r>
              <w:rPr>
                <w:rFonts w:asciiTheme="minorHAnsi" w:hAnsiTheme="minorHAnsi" w:cstheme="minorHAnsi"/>
                <w:b/>
                <w:bCs/>
                <w:szCs w:val="22"/>
                <w:lang w:val="fr-FR"/>
              </w:rPr>
              <w:t>12 septembre 2022</w:t>
            </w:r>
          </w:p>
          <w:p w14:paraId="27DDEE48" w14:textId="77777777" w:rsidR="007F51A0" w:rsidRPr="008D4B8C" w:rsidRDefault="007F51A0" w:rsidP="002611E9">
            <w:pPr>
              <w:jc w:val="both"/>
              <w:rPr>
                <w:rFonts w:asciiTheme="minorHAnsi" w:hAnsiTheme="minorHAnsi" w:cstheme="minorHAnsi"/>
                <w:sz w:val="22"/>
                <w:szCs w:val="20"/>
              </w:rPr>
            </w:pPr>
          </w:p>
        </w:tc>
      </w:tr>
      <w:tr w:rsidR="007F51A0" w:rsidRPr="008D4B8C" w14:paraId="029C176D" w14:textId="77777777" w:rsidTr="002611E9">
        <w:tc>
          <w:tcPr>
            <w:tcW w:w="3085" w:type="dxa"/>
            <w:tcBorders>
              <w:top w:val="single" w:sz="4" w:space="0" w:color="auto"/>
              <w:left w:val="single" w:sz="4" w:space="0" w:color="auto"/>
              <w:bottom w:val="single" w:sz="4" w:space="0" w:color="auto"/>
              <w:right w:val="single" w:sz="4" w:space="0" w:color="auto"/>
            </w:tcBorders>
          </w:tcPr>
          <w:p w14:paraId="291FC948" w14:textId="77777777" w:rsidR="007F51A0" w:rsidRPr="008D4B8C" w:rsidRDefault="007F51A0" w:rsidP="002611E9">
            <w:pPr>
              <w:ind w:right="252"/>
              <w:jc w:val="both"/>
              <w:rPr>
                <w:rFonts w:asciiTheme="minorHAnsi" w:hAnsiTheme="minorHAnsi" w:cstheme="minorHAnsi"/>
                <w:sz w:val="22"/>
                <w:szCs w:val="20"/>
              </w:rPr>
            </w:pPr>
            <w:r w:rsidRPr="008D4B8C">
              <w:rPr>
                <w:rFonts w:asciiTheme="minorHAnsi" w:hAnsiTheme="minorHAnsi" w:cstheme="minorHAnsi"/>
                <w:sz w:val="22"/>
                <w:szCs w:val="20"/>
              </w:rPr>
              <w:t>Numéro de rôle</w:t>
            </w:r>
            <w:r>
              <w:rPr>
                <w:rFonts w:asciiTheme="minorHAnsi" w:hAnsiTheme="minorHAnsi" w:cstheme="minorHAnsi"/>
                <w:sz w:val="22"/>
                <w:szCs w:val="20"/>
              </w:rPr>
              <w:t xml:space="preserve"> </w:t>
            </w:r>
            <w:r w:rsidRPr="008D4B8C">
              <w:rPr>
                <w:rFonts w:asciiTheme="minorHAnsi" w:hAnsiTheme="minorHAnsi" w:cstheme="minorHAnsi"/>
                <w:sz w:val="22"/>
                <w:szCs w:val="20"/>
              </w:rPr>
              <w:t>:</w:t>
            </w:r>
          </w:p>
          <w:p w14:paraId="43799643" w14:textId="77777777" w:rsidR="007F51A0" w:rsidRPr="00262344" w:rsidRDefault="007F51A0" w:rsidP="002611E9">
            <w:pPr>
              <w:ind w:right="252"/>
              <w:jc w:val="both"/>
              <w:rPr>
                <w:rFonts w:asciiTheme="minorHAnsi" w:hAnsiTheme="minorHAnsi" w:cstheme="minorHAnsi"/>
                <w:b/>
                <w:bCs/>
                <w:sz w:val="22"/>
                <w:szCs w:val="22"/>
              </w:rPr>
            </w:pPr>
            <w:r w:rsidRPr="00262344">
              <w:rPr>
                <w:rFonts w:asciiTheme="minorHAnsi" w:hAnsiTheme="minorHAnsi" w:cstheme="minorHAnsi"/>
                <w:b/>
                <w:bCs/>
                <w:sz w:val="22"/>
                <w:szCs w:val="22"/>
              </w:rPr>
              <w:t>22/2/C</w:t>
            </w:r>
          </w:p>
          <w:p w14:paraId="2A8670A4" w14:textId="77777777" w:rsidR="007F51A0" w:rsidRPr="008D4B8C" w:rsidRDefault="007F51A0" w:rsidP="002611E9">
            <w:pPr>
              <w:ind w:right="252"/>
              <w:jc w:val="both"/>
              <w:rPr>
                <w:rFonts w:asciiTheme="minorHAnsi" w:hAnsiTheme="minorHAnsi" w:cstheme="minorHAnsi"/>
                <w:b/>
                <w:sz w:val="22"/>
                <w:szCs w:val="20"/>
              </w:rPr>
            </w:pPr>
          </w:p>
        </w:tc>
      </w:tr>
    </w:tbl>
    <w:p w14:paraId="393B6DE4" w14:textId="77777777" w:rsidR="007F51A0" w:rsidRPr="008D4B8C" w:rsidRDefault="007F51A0" w:rsidP="007F51A0">
      <w:pPr>
        <w:spacing w:line="260" w:lineRule="atLeast"/>
        <w:ind w:firstLine="993"/>
        <w:jc w:val="both"/>
        <w:rPr>
          <w:rFonts w:asciiTheme="minorHAnsi" w:eastAsia="SimSun" w:hAnsiTheme="minorHAnsi" w:cstheme="minorHAnsi"/>
          <w:b/>
          <w:szCs w:val="22"/>
          <w:lang w:eastAsia="zh-CN"/>
        </w:rPr>
      </w:pPr>
      <w:r w:rsidRPr="008D4B8C">
        <w:rPr>
          <w:rFonts w:asciiTheme="minorHAnsi" w:eastAsia="SimSun" w:hAnsiTheme="minorHAnsi" w:cstheme="minorHAnsi"/>
          <w:b/>
          <w:lang w:eastAsia="zh-CN"/>
        </w:rPr>
        <w:t xml:space="preserve">  </w:t>
      </w:r>
    </w:p>
    <w:p w14:paraId="37F38DA3" w14:textId="77777777" w:rsidR="007F51A0" w:rsidRPr="008D4B8C" w:rsidRDefault="007F51A0" w:rsidP="007F51A0">
      <w:pPr>
        <w:spacing w:line="260" w:lineRule="atLeast"/>
        <w:jc w:val="both"/>
        <w:rPr>
          <w:rFonts w:asciiTheme="minorHAnsi" w:eastAsia="SimSun" w:hAnsiTheme="minorHAnsi" w:cstheme="minorHAnsi"/>
          <w:b/>
          <w:sz w:val="56"/>
          <w:szCs w:val="56"/>
          <w:lang w:eastAsia="zh-CN"/>
        </w:rPr>
      </w:pPr>
    </w:p>
    <w:p w14:paraId="158D6D79" w14:textId="77777777" w:rsidR="007F51A0" w:rsidRPr="008D4B8C" w:rsidRDefault="007F51A0" w:rsidP="007F51A0">
      <w:pPr>
        <w:spacing w:line="260" w:lineRule="atLeast"/>
        <w:ind w:left="-567"/>
        <w:jc w:val="both"/>
        <w:rPr>
          <w:rFonts w:asciiTheme="minorHAnsi" w:eastAsia="SimSun" w:hAnsiTheme="minorHAnsi" w:cstheme="minorHAnsi"/>
          <w:b/>
          <w:sz w:val="56"/>
          <w:szCs w:val="56"/>
          <w:lang w:eastAsia="zh-CN"/>
        </w:rPr>
      </w:pPr>
    </w:p>
    <w:p w14:paraId="6DAD8AD4" w14:textId="77777777" w:rsidR="007F51A0" w:rsidRPr="008D4B8C" w:rsidRDefault="007F51A0" w:rsidP="007F51A0">
      <w:pPr>
        <w:spacing w:line="260" w:lineRule="atLeast"/>
        <w:ind w:left="-567"/>
        <w:jc w:val="both"/>
        <w:rPr>
          <w:rFonts w:asciiTheme="minorHAnsi" w:eastAsia="SimSun" w:hAnsiTheme="minorHAnsi" w:cstheme="minorHAnsi"/>
          <w:b/>
          <w:sz w:val="56"/>
          <w:szCs w:val="56"/>
          <w:lang w:eastAsia="zh-CN"/>
        </w:rPr>
      </w:pPr>
    </w:p>
    <w:p w14:paraId="35B3D8FC" w14:textId="77777777" w:rsidR="007F51A0" w:rsidRPr="008D4B8C" w:rsidRDefault="007F51A0" w:rsidP="007F51A0">
      <w:pPr>
        <w:spacing w:line="260" w:lineRule="atLeast"/>
        <w:ind w:left="-567"/>
        <w:jc w:val="both"/>
        <w:rPr>
          <w:rFonts w:asciiTheme="minorHAnsi" w:eastAsia="SimSun" w:hAnsiTheme="minorHAnsi" w:cstheme="minorHAnsi"/>
          <w:b/>
          <w:sz w:val="56"/>
          <w:szCs w:val="56"/>
          <w:lang w:eastAsia="zh-CN"/>
        </w:rPr>
      </w:pPr>
    </w:p>
    <w:p w14:paraId="4F97F9A9" w14:textId="77777777" w:rsidR="007F51A0" w:rsidRPr="008D4B8C" w:rsidRDefault="007F51A0" w:rsidP="007F51A0">
      <w:pPr>
        <w:spacing w:line="260" w:lineRule="atLeast"/>
        <w:ind w:left="-567"/>
        <w:jc w:val="both"/>
        <w:rPr>
          <w:rFonts w:asciiTheme="minorHAnsi" w:eastAsia="SimSun" w:hAnsiTheme="minorHAnsi" w:cstheme="minorHAnsi"/>
          <w:b/>
          <w:sz w:val="56"/>
          <w:szCs w:val="56"/>
          <w:lang w:eastAsia="zh-CN"/>
        </w:rPr>
      </w:pPr>
      <w:r w:rsidRPr="008D4B8C">
        <w:rPr>
          <w:rFonts w:asciiTheme="minorHAnsi" w:eastAsia="SimSun" w:hAnsiTheme="minorHAnsi" w:cstheme="minorHAnsi"/>
          <w:b/>
          <w:sz w:val="56"/>
          <w:szCs w:val="56"/>
          <w:lang w:eastAsia="zh-CN"/>
        </w:rPr>
        <w:t xml:space="preserve"> </w:t>
      </w:r>
    </w:p>
    <w:p w14:paraId="1451B87E" w14:textId="77777777" w:rsidR="007F51A0" w:rsidRPr="008D4B8C" w:rsidRDefault="007F51A0" w:rsidP="007F51A0">
      <w:pPr>
        <w:spacing w:line="260" w:lineRule="atLeast"/>
        <w:jc w:val="center"/>
        <w:rPr>
          <w:rFonts w:asciiTheme="minorHAnsi" w:eastAsia="SimSun" w:hAnsiTheme="minorHAnsi" w:cstheme="minorHAnsi"/>
          <w:b/>
          <w:sz w:val="56"/>
          <w:szCs w:val="56"/>
          <w:lang w:eastAsia="zh-CN"/>
        </w:rPr>
      </w:pPr>
      <w:r w:rsidRPr="008D4B8C">
        <w:rPr>
          <w:rFonts w:asciiTheme="minorHAnsi" w:eastAsia="SimSun" w:hAnsiTheme="minorHAnsi" w:cstheme="minorHAnsi"/>
          <w:b/>
          <w:sz w:val="56"/>
          <w:szCs w:val="56"/>
          <w:lang w:eastAsia="zh-CN"/>
        </w:rPr>
        <w:t>Tribunal du travail de Liège</w:t>
      </w:r>
    </w:p>
    <w:p w14:paraId="1E1F6310" w14:textId="77777777" w:rsidR="007F51A0" w:rsidRPr="008D4B8C" w:rsidRDefault="007F51A0" w:rsidP="007F51A0">
      <w:pPr>
        <w:spacing w:line="260" w:lineRule="atLeast"/>
        <w:jc w:val="center"/>
        <w:rPr>
          <w:rFonts w:asciiTheme="minorHAnsi" w:eastAsia="SimSun" w:hAnsiTheme="minorHAnsi" w:cstheme="minorHAnsi"/>
          <w:b/>
          <w:color w:val="808080"/>
          <w:sz w:val="56"/>
          <w:szCs w:val="56"/>
          <w:lang w:eastAsia="zh-CN"/>
        </w:rPr>
      </w:pPr>
      <w:r w:rsidRPr="008D4B8C">
        <w:rPr>
          <w:rFonts w:asciiTheme="minorHAnsi" w:eastAsia="SimSun" w:hAnsiTheme="minorHAnsi" w:cstheme="minorHAnsi"/>
          <w:b/>
          <w:sz w:val="56"/>
          <w:szCs w:val="56"/>
          <w:lang w:eastAsia="zh-CN"/>
        </w:rPr>
        <w:t>Division</w:t>
      </w:r>
      <w:r>
        <w:rPr>
          <w:rFonts w:asciiTheme="minorHAnsi" w:eastAsia="SimSun" w:hAnsiTheme="minorHAnsi" w:cstheme="minorHAnsi"/>
          <w:b/>
          <w:sz w:val="56"/>
          <w:szCs w:val="56"/>
          <w:lang w:eastAsia="zh-CN"/>
        </w:rPr>
        <w:t xml:space="preserve"> Namur</w:t>
      </w:r>
    </w:p>
    <w:p w14:paraId="35281383" w14:textId="77777777" w:rsidR="007F51A0" w:rsidRPr="008D4B8C" w:rsidRDefault="007F51A0" w:rsidP="007F51A0">
      <w:pPr>
        <w:spacing w:line="260" w:lineRule="atLeast"/>
        <w:jc w:val="center"/>
        <w:rPr>
          <w:rFonts w:asciiTheme="minorHAnsi" w:eastAsia="SimSun" w:hAnsiTheme="minorHAnsi" w:cstheme="minorHAnsi"/>
          <w:b/>
          <w:sz w:val="56"/>
          <w:szCs w:val="56"/>
          <w:lang w:eastAsia="zh-CN"/>
        </w:rPr>
      </w:pPr>
    </w:p>
    <w:p w14:paraId="5D8152FE" w14:textId="77777777" w:rsidR="007F51A0" w:rsidRPr="008D4B8C" w:rsidRDefault="00DC19BA" w:rsidP="007F51A0">
      <w:pPr>
        <w:spacing w:line="260" w:lineRule="atLeast"/>
        <w:jc w:val="center"/>
        <w:rPr>
          <w:rFonts w:asciiTheme="minorHAnsi" w:eastAsia="SimSun" w:hAnsiTheme="minorHAnsi" w:cstheme="minorHAnsi"/>
          <w:b/>
          <w:sz w:val="56"/>
          <w:szCs w:val="56"/>
          <w:lang w:eastAsia="zh-CN"/>
        </w:rPr>
      </w:pPr>
      <w:r>
        <w:rPr>
          <w:rFonts w:asciiTheme="minorHAnsi" w:eastAsia="SimSun" w:hAnsiTheme="minorHAnsi" w:cstheme="minorHAnsi"/>
          <w:b/>
          <w:sz w:val="56"/>
          <w:szCs w:val="56"/>
          <w:lang w:eastAsia="zh-CN"/>
        </w:rPr>
        <w:t>Référé</w:t>
      </w:r>
    </w:p>
    <w:p w14:paraId="4559C246" w14:textId="77777777" w:rsidR="007F51A0" w:rsidRPr="008D4B8C" w:rsidRDefault="007F51A0" w:rsidP="007F51A0">
      <w:pPr>
        <w:jc w:val="both"/>
        <w:rPr>
          <w:rFonts w:asciiTheme="minorHAnsi" w:eastAsia="SimSun" w:hAnsiTheme="minorHAnsi" w:cstheme="minorHAnsi"/>
          <w:b/>
          <w:sz w:val="56"/>
          <w:szCs w:val="56"/>
          <w:lang w:eastAsia="zh-CN"/>
        </w:rPr>
      </w:pPr>
    </w:p>
    <w:p w14:paraId="1F7ED5C4" w14:textId="77777777" w:rsidR="007F51A0" w:rsidRPr="00E465A2" w:rsidRDefault="007F51A0" w:rsidP="007F51A0">
      <w:pPr>
        <w:pStyle w:val="Textebrut"/>
        <w:jc w:val="center"/>
        <w:rPr>
          <w:rFonts w:asciiTheme="minorHAnsi" w:hAnsiTheme="minorHAnsi" w:cstheme="minorHAnsi"/>
          <w:b/>
          <w:sz w:val="32"/>
          <w:szCs w:val="32"/>
          <w:u w:val="single"/>
        </w:rPr>
      </w:pPr>
      <w:r w:rsidRPr="008D4B8C">
        <w:rPr>
          <w:rFonts w:asciiTheme="minorHAnsi" w:hAnsiTheme="minorHAnsi" w:cstheme="minorHAnsi"/>
        </w:rPr>
        <w:br w:type="page"/>
      </w:r>
    </w:p>
    <w:p w14:paraId="5FDB8DFA" w14:textId="77777777" w:rsidR="007F51A0" w:rsidRPr="00434F87" w:rsidRDefault="007F51A0" w:rsidP="007F51A0">
      <w:pPr>
        <w:pStyle w:val="Textebrut"/>
        <w:jc w:val="center"/>
        <w:rPr>
          <w:rFonts w:asciiTheme="minorHAnsi" w:hAnsiTheme="minorHAnsi" w:cstheme="minorHAnsi"/>
          <w:b/>
          <w:sz w:val="22"/>
          <w:szCs w:val="22"/>
        </w:rPr>
      </w:pPr>
      <w:bookmarkStart w:id="1" w:name="niveau"/>
      <w:r w:rsidRPr="00434F87">
        <w:rPr>
          <w:rFonts w:asciiTheme="minorHAnsi" w:hAnsiTheme="minorHAnsi" w:cstheme="minorHAnsi"/>
          <w:b/>
          <w:sz w:val="22"/>
          <w:szCs w:val="22"/>
          <w:u w:val="single"/>
        </w:rPr>
        <w:lastRenderedPageBreak/>
        <w:t>En cause de</w:t>
      </w:r>
      <w:r w:rsidRPr="00434F87">
        <w:rPr>
          <w:rFonts w:asciiTheme="minorHAnsi" w:hAnsiTheme="minorHAnsi" w:cstheme="minorHAnsi"/>
          <w:b/>
          <w:sz w:val="22"/>
          <w:szCs w:val="22"/>
        </w:rPr>
        <w:t xml:space="preserve"> :</w:t>
      </w:r>
    </w:p>
    <w:p w14:paraId="04E29E7E" w14:textId="77777777" w:rsidR="007F51A0" w:rsidRPr="00434F87" w:rsidRDefault="007F51A0" w:rsidP="007F51A0">
      <w:pPr>
        <w:pStyle w:val="Textebrut"/>
        <w:jc w:val="center"/>
        <w:rPr>
          <w:rFonts w:asciiTheme="minorHAnsi" w:hAnsiTheme="minorHAnsi" w:cstheme="minorHAnsi"/>
          <w:b/>
          <w:sz w:val="22"/>
          <w:szCs w:val="22"/>
        </w:rPr>
      </w:pPr>
    </w:p>
    <w:p w14:paraId="04E7061E" w14:textId="77777777" w:rsidR="007F51A0" w:rsidRPr="00434F87" w:rsidRDefault="003A7C48" w:rsidP="007F51A0">
      <w:pPr>
        <w:pStyle w:val="Textebrut"/>
        <w:jc w:val="both"/>
        <w:rPr>
          <w:rFonts w:asciiTheme="minorHAnsi" w:hAnsiTheme="minorHAnsi" w:cstheme="minorHAnsi"/>
          <w:sz w:val="22"/>
          <w:szCs w:val="22"/>
        </w:rPr>
      </w:pPr>
      <w:bookmarkStart w:id="2" w:name="demandeur"/>
      <w:r>
        <w:rPr>
          <w:rFonts w:asciiTheme="minorHAnsi" w:hAnsiTheme="minorHAnsi" w:cstheme="minorHAnsi"/>
          <w:b/>
          <w:bCs/>
          <w:sz w:val="22"/>
          <w:szCs w:val="22"/>
        </w:rPr>
        <w:t>FEDASIL</w:t>
      </w:r>
      <w:r w:rsidR="002611E9">
        <w:rPr>
          <w:rFonts w:asciiTheme="minorHAnsi" w:hAnsiTheme="minorHAnsi" w:cstheme="minorHAnsi"/>
          <w:b/>
          <w:bCs/>
          <w:sz w:val="22"/>
          <w:szCs w:val="22"/>
        </w:rPr>
        <w:t>,</w:t>
      </w:r>
      <w:r>
        <w:rPr>
          <w:rFonts w:asciiTheme="minorHAnsi" w:hAnsiTheme="minorHAnsi" w:cstheme="minorHAnsi"/>
          <w:b/>
          <w:bCs/>
          <w:sz w:val="22"/>
          <w:szCs w:val="22"/>
        </w:rPr>
        <w:t xml:space="preserve"> </w:t>
      </w:r>
      <w:r w:rsidR="007F51A0" w:rsidRPr="00434F87">
        <w:rPr>
          <w:rFonts w:asciiTheme="minorHAnsi" w:hAnsiTheme="minorHAnsi" w:cstheme="minorHAnsi"/>
          <w:bCs/>
          <w:sz w:val="22"/>
          <w:szCs w:val="22"/>
        </w:rPr>
        <w:t>(BCE: 0860.737.913</w:t>
      </w:r>
      <w:r w:rsidR="002611E9">
        <w:rPr>
          <w:rFonts w:asciiTheme="minorHAnsi" w:hAnsiTheme="minorHAnsi" w:cstheme="minorHAnsi"/>
          <w:bCs/>
          <w:sz w:val="22"/>
          <w:szCs w:val="22"/>
        </w:rPr>
        <w:t>)</w:t>
      </w:r>
      <w:r>
        <w:rPr>
          <w:rFonts w:asciiTheme="minorHAnsi" w:hAnsiTheme="minorHAnsi" w:cstheme="minorHAnsi"/>
          <w:bCs/>
          <w:sz w:val="22"/>
          <w:szCs w:val="22"/>
        </w:rPr>
        <w:t xml:space="preserve">, dont les bureaux sont situés à </w:t>
      </w:r>
      <w:r w:rsidR="007F51A0" w:rsidRPr="00434F87">
        <w:rPr>
          <w:rFonts w:asciiTheme="minorHAnsi" w:hAnsiTheme="minorHAnsi" w:cstheme="minorHAnsi"/>
          <w:sz w:val="22"/>
          <w:szCs w:val="22"/>
        </w:rPr>
        <w:t>1000 BRUXELLES, Rue des Chartreux, 21</w:t>
      </w:r>
    </w:p>
    <w:p w14:paraId="2DE2652C" w14:textId="77777777" w:rsidR="007F51A0" w:rsidRPr="00434F87" w:rsidRDefault="007F51A0" w:rsidP="007F51A0">
      <w:pPr>
        <w:pStyle w:val="Textebrut"/>
        <w:jc w:val="both"/>
        <w:rPr>
          <w:rFonts w:asciiTheme="minorHAnsi" w:hAnsiTheme="minorHAnsi" w:cstheme="minorHAnsi"/>
          <w:sz w:val="22"/>
          <w:szCs w:val="22"/>
        </w:rPr>
      </w:pPr>
    </w:p>
    <w:p w14:paraId="61500C45" w14:textId="77777777" w:rsidR="007F51A0" w:rsidRPr="00434F87" w:rsidRDefault="007F51A0" w:rsidP="007F51A0">
      <w:pPr>
        <w:pStyle w:val="Textebrut"/>
        <w:jc w:val="both"/>
        <w:rPr>
          <w:rFonts w:asciiTheme="minorHAnsi" w:hAnsiTheme="minorHAnsi" w:cstheme="minorHAnsi"/>
          <w:sz w:val="22"/>
          <w:szCs w:val="22"/>
        </w:rPr>
      </w:pPr>
      <w:r w:rsidRPr="00434F87">
        <w:rPr>
          <w:rFonts w:asciiTheme="minorHAnsi" w:hAnsiTheme="minorHAnsi" w:cstheme="minorHAnsi"/>
          <w:sz w:val="22"/>
          <w:szCs w:val="22"/>
          <w:u w:val="single"/>
        </w:rPr>
        <w:t>partie demanderesse</w:t>
      </w:r>
      <w:r w:rsidR="002611E9">
        <w:rPr>
          <w:rFonts w:asciiTheme="minorHAnsi" w:hAnsiTheme="minorHAnsi" w:cstheme="minorHAnsi"/>
          <w:sz w:val="22"/>
          <w:szCs w:val="22"/>
        </w:rPr>
        <w:t>, ayant pour conseil</w:t>
      </w:r>
      <w:r w:rsidR="003A7C48">
        <w:rPr>
          <w:rFonts w:asciiTheme="minorHAnsi" w:hAnsiTheme="minorHAnsi" w:cstheme="minorHAnsi"/>
          <w:sz w:val="22"/>
          <w:szCs w:val="22"/>
        </w:rPr>
        <w:t xml:space="preserve"> </w:t>
      </w:r>
      <w:bookmarkStart w:id="3" w:name="demavoc"/>
      <w:r w:rsidRPr="00434F87">
        <w:rPr>
          <w:rFonts w:asciiTheme="minorHAnsi" w:hAnsiTheme="minorHAnsi" w:cstheme="minorHAnsi"/>
          <w:sz w:val="22"/>
          <w:szCs w:val="22"/>
        </w:rPr>
        <w:t>Maître DETHEUX ALAIN, avocat à 1060 SAI</w:t>
      </w:r>
      <w:r w:rsidR="003A7C48">
        <w:rPr>
          <w:rFonts w:asciiTheme="minorHAnsi" w:hAnsiTheme="minorHAnsi" w:cstheme="minorHAnsi"/>
          <w:sz w:val="22"/>
          <w:szCs w:val="22"/>
        </w:rPr>
        <w:t>NT-GILLES, rue de l'Amazone, 37, comparaissant par Maître ANCIAUX DE FAVEAUX Loïc, avocat</w:t>
      </w:r>
    </w:p>
    <w:bookmarkEnd w:id="3"/>
    <w:p w14:paraId="56F39140" w14:textId="77777777" w:rsidR="007F51A0" w:rsidRPr="00434F87" w:rsidRDefault="007F51A0" w:rsidP="007F51A0">
      <w:pPr>
        <w:pStyle w:val="Textebrut"/>
        <w:ind w:left="1418"/>
        <w:jc w:val="both"/>
        <w:rPr>
          <w:rFonts w:asciiTheme="minorHAnsi" w:hAnsiTheme="minorHAnsi" w:cstheme="minorHAnsi"/>
          <w:sz w:val="22"/>
          <w:szCs w:val="22"/>
        </w:rPr>
      </w:pPr>
    </w:p>
    <w:bookmarkEnd w:id="2"/>
    <w:p w14:paraId="59182A73" w14:textId="77777777" w:rsidR="007F51A0" w:rsidRPr="00434F87" w:rsidRDefault="007F51A0" w:rsidP="007F51A0">
      <w:pPr>
        <w:pStyle w:val="Textebrut"/>
        <w:tabs>
          <w:tab w:val="left" w:pos="1395"/>
        </w:tabs>
        <w:ind w:left="1365" w:hanging="1350"/>
        <w:jc w:val="center"/>
        <w:rPr>
          <w:rFonts w:asciiTheme="minorHAnsi" w:hAnsiTheme="minorHAnsi" w:cstheme="minorHAnsi"/>
          <w:b/>
          <w:sz w:val="22"/>
          <w:szCs w:val="22"/>
        </w:rPr>
      </w:pPr>
      <w:r w:rsidRPr="00434F87">
        <w:rPr>
          <w:rFonts w:asciiTheme="minorHAnsi" w:hAnsiTheme="minorHAnsi" w:cstheme="minorHAnsi"/>
          <w:b/>
          <w:sz w:val="22"/>
          <w:szCs w:val="22"/>
          <w:u w:val="single"/>
        </w:rPr>
        <w:t>Contre</w:t>
      </w:r>
      <w:r w:rsidRPr="00434F87">
        <w:rPr>
          <w:rFonts w:asciiTheme="minorHAnsi" w:hAnsiTheme="minorHAnsi" w:cstheme="minorHAnsi"/>
          <w:b/>
          <w:sz w:val="22"/>
          <w:szCs w:val="22"/>
        </w:rPr>
        <w:t xml:space="preserve"> :</w:t>
      </w:r>
    </w:p>
    <w:p w14:paraId="0F2174B1" w14:textId="77777777" w:rsidR="007F51A0" w:rsidRPr="00434F87" w:rsidRDefault="007F51A0" w:rsidP="007F51A0">
      <w:pPr>
        <w:pStyle w:val="Textebrut"/>
        <w:tabs>
          <w:tab w:val="left" w:pos="1395"/>
        </w:tabs>
        <w:ind w:left="1365" w:hanging="1350"/>
        <w:jc w:val="center"/>
        <w:rPr>
          <w:rFonts w:asciiTheme="minorHAnsi" w:hAnsiTheme="minorHAnsi" w:cstheme="minorHAnsi"/>
          <w:b/>
          <w:sz w:val="22"/>
          <w:szCs w:val="22"/>
        </w:rPr>
      </w:pPr>
    </w:p>
    <w:p w14:paraId="118667E5" w14:textId="77777777" w:rsidR="003A7C48" w:rsidRDefault="003A7C48" w:rsidP="003A7C48">
      <w:pPr>
        <w:widowControl/>
        <w:suppressAutoHyphens w:val="0"/>
        <w:spacing w:after="160" w:line="256" w:lineRule="auto"/>
        <w:jc w:val="both"/>
        <w:rPr>
          <w:rFonts w:ascii="Calibri" w:eastAsia="Calibri" w:hAnsi="Calibri" w:cs="Times New Roman"/>
          <w:kern w:val="0"/>
          <w:sz w:val="22"/>
          <w:szCs w:val="22"/>
          <w:u w:val="single"/>
          <w:lang w:eastAsia="en-US"/>
        </w:rPr>
      </w:pPr>
      <w:bookmarkStart w:id="4" w:name="defendeur"/>
      <w:r w:rsidRPr="002F6586">
        <w:rPr>
          <w:rFonts w:ascii="Calibri" w:eastAsia="Calibri" w:hAnsi="Calibri" w:cs="Times New Roman"/>
          <w:kern w:val="0"/>
          <w:sz w:val="22"/>
          <w:szCs w:val="22"/>
          <w:highlight w:val="black"/>
          <w:lang w:eastAsia="en-US"/>
        </w:rPr>
        <w:t xml:space="preserve">Monsieur </w:t>
      </w:r>
      <w:r w:rsidRPr="002F6586">
        <w:rPr>
          <w:rFonts w:ascii="Calibri" w:eastAsia="Calibri" w:hAnsi="Calibri" w:cs="Times New Roman"/>
          <w:b/>
          <w:kern w:val="0"/>
          <w:sz w:val="22"/>
          <w:szCs w:val="22"/>
          <w:highlight w:val="black"/>
          <w:lang w:eastAsia="en-US"/>
        </w:rPr>
        <w:t>TALOM KEBAIN Kevin Narcisse</w:t>
      </w:r>
      <w:r w:rsidRPr="002F6586">
        <w:rPr>
          <w:rFonts w:ascii="Calibri" w:eastAsia="Calibri" w:hAnsi="Calibri" w:cs="Times New Roman"/>
          <w:kern w:val="0"/>
          <w:sz w:val="22"/>
          <w:szCs w:val="22"/>
          <w:highlight w:val="black"/>
          <w:lang w:eastAsia="en-US"/>
        </w:rPr>
        <w:t xml:space="preserve">, (R.N. 091042273955 – SP 9345956), candidat réfugié de nationalité camerounaise, né le 22.04.1991, à </w:t>
      </w:r>
      <w:proofErr w:type="spellStart"/>
      <w:r w:rsidRPr="002F6586">
        <w:rPr>
          <w:rFonts w:ascii="Calibri" w:eastAsia="Calibri" w:hAnsi="Calibri" w:cs="Times New Roman"/>
          <w:kern w:val="0"/>
          <w:sz w:val="22"/>
          <w:szCs w:val="22"/>
          <w:highlight w:val="black"/>
          <w:lang w:eastAsia="en-US"/>
        </w:rPr>
        <w:t>Foumbot</w:t>
      </w:r>
      <w:proofErr w:type="spellEnd"/>
      <w:r w:rsidRPr="002F6586">
        <w:rPr>
          <w:rFonts w:ascii="Calibri" w:eastAsia="Calibri" w:hAnsi="Calibri" w:cs="Times New Roman"/>
          <w:kern w:val="0"/>
          <w:sz w:val="22"/>
          <w:szCs w:val="22"/>
          <w:highlight w:val="black"/>
          <w:lang w:eastAsia="en-US"/>
        </w:rPr>
        <w:t xml:space="preserve"> (Cameroun), résidant actuellement au Centre Croix-Rouge de Belgrade, sis 15 chemin de la plaine, 5001 Belgrade, faisant élection de domicile au cabinet de son conseil,</w:t>
      </w:r>
    </w:p>
    <w:p w14:paraId="6C4C7B81" w14:textId="77777777" w:rsidR="007F51A0" w:rsidRPr="00434F87" w:rsidRDefault="007F51A0" w:rsidP="007F51A0">
      <w:pPr>
        <w:pStyle w:val="Textebrut"/>
        <w:tabs>
          <w:tab w:val="left" w:pos="1843"/>
        </w:tabs>
        <w:jc w:val="both"/>
        <w:rPr>
          <w:rFonts w:asciiTheme="minorHAnsi" w:hAnsiTheme="minorHAnsi" w:cstheme="minorHAnsi"/>
          <w:sz w:val="22"/>
          <w:szCs w:val="22"/>
        </w:rPr>
      </w:pPr>
      <w:r w:rsidRPr="00434F87">
        <w:rPr>
          <w:rFonts w:asciiTheme="minorHAnsi" w:hAnsiTheme="minorHAnsi" w:cstheme="minorHAnsi"/>
          <w:sz w:val="22"/>
          <w:szCs w:val="22"/>
          <w:u w:val="single"/>
        </w:rPr>
        <w:t>partie défenderesse</w:t>
      </w:r>
      <w:r w:rsidR="002611E9">
        <w:rPr>
          <w:rFonts w:asciiTheme="minorHAnsi" w:hAnsiTheme="minorHAnsi" w:cstheme="minorHAnsi"/>
          <w:sz w:val="22"/>
          <w:szCs w:val="22"/>
        </w:rPr>
        <w:t>, ayant pour conseil</w:t>
      </w:r>
      <w:r w:rsidR="003A7C48">
        <w:rPr>
          <w:rFonts w:asciiTheme="minorHAnsi" w:hAnsiTheme="minorHAnsi" w:cstheme="minorHAnsi"/>
          <w:sz w:val="22"/>
          <w:szCs w:val="22"/>
        </w:rPr>
        <w:t xml:space="preserve"> </w:t>
      </w:r>
      <w:bookmarkStart w:id="5" w:name="defavoc"/>
      <w:r w:rsidRPr="00434F87">
        <w:rPr>
          <w:rFonts w:asciiTheme="minorHAnsi" w:hAnsiTheme="minorHAnsi" w:cstheme="minorHAnsi"/>
          <w:sz w:val="22"/>
          <w:szCs w:val="22"/>
        </w:rPr>
        <w:t xml:space="preserve">Maître DESENFANS CHRISTOPHE, avocat à 1030 BRUXELLES, Square Eugène </w:t>
      </w:r>
      <w:proofErr w:type="spellStart"/>
      <w:r w:rsidRPr="00434F87">
        <w:rPr>
          <w:rFonts w:asciiTheme="minorHAnsi" w:hAnsiTheme="minorHAnsi" w:cstheme="minorHAnsi"/>
          <w:sz w:val="22"/>
          <w:szCs w:val="22"/>
        </w:rPr>
        <w:t>Plasky</w:t>
      </w:r>
      <w:proofErr w:type="spellEnd"/>
      <w:r w:rsidRPr="00434F87">
        <w:rPr>
          <w:rFonts w:asciiTheme="minorHAnsi" w:hAnsiTheme="minorHAnsi" w:cstheme="minorHAnsi"/>
          <w:sz w:val="22"/>
          <w:szCs w:val="22"/>
        </w:rPr>
        <w:t xml:space="preserve"> 92-94/2 </w:t>
      </w:r>
    </w:p>
    <w:bookmarkEnd w:id="5"/>
    <w:bookmarkEnd w:id="4"/>
    <w:p w14:paraId="4D2AF05C" w14:textId="77777777" w:rsidR="007F51A0" w:rsidRPr="00434F87" w:rsidRDefault="007F51A0" w:rsidP="007F51A0">
      <w:pPr>
        <w:pStyle w:val="Textebrut"/>
        <w:pBdr>
          <w:bottom w:val="single" w:sz="6" w:space="1" w:color="auto"/>
        </w:pBdr>
        <w:rPr>
          <w:rFonts w:asciiTheme="minorHAnsi" w:hAnsiTheme="minorHAnsi" w:cstheme="minorHAnsi"/>
          <w:sz w:val="22"/>
          <w:szCs w:val="22"/>
        </w:rPr>
      </w:pPr>
    </w:p>
    <w:p w14:paraId="0353D3DD" w14:textId="77777777" w:rsidR="00193F79" w:rsidRDefault="00193F79" w:rsidP="003B3F57">
      <w:pPr>
        <w:pStyle w:val="Textebrut"/>
        <w:rPr>
          <w:rFonts w:asciiTheme="minorHAnsi" w:hAnsiTheme="minorHAnsi" w:cstheme="minorHAnsi"/>
          <w:sz w:val="22"/>
          <w:szCs w:val="22"/>
          <w:lang w:val="fr-FR"/>
        </w:rPr>
      </w:pPr>
    </w:p>
    <w:p w14:paraId="41F381FA" w14:textId="77777777" w:rsidR="002611E9" w:rsidRDefault="002611E9" w:rsidP="003B3F57">
      <w:pPr>
        <w:pStyle w:val="Textebrut"/>
        <w:rPr>
          <w:rFonts w:asciiTheme="minorHAnsi" w:hAnsiTheme="minorHAnsi" w:cstheme="minorHAnsi"/>
          <w:sz w:val="22"/>
          <w:szCs w:val="22"/>
          <w:lang w:val="fr-FR"/>
        </w:rPr>
      </w:pPr>
      <w:r>
        <w:rPr>
          <w:rFonts w:asciiTheme="minorHAnsi" w:hAnsiTheme="minorHAnsi" w:cstheme="minorHAnsi"/>
          <w:sz w:val="22"/>
          <w:szCs w:val="22"/>
          <w:lang w:val="fr-FR"/>
        </w:rPr>
        <w:t xml:space="preserve">Nous, Renaud GASON, Président de division du Tribunal du Travail de Liège, division Namur, assisté de </w:t>
      </w:r>
      <w:sdt>
        <w:sdtPr>
          <w:rPr>
            <w:rFonts w:asciiTheme="minorHAnsi" w:hAnsiTheme="minorHAnsi" w:cstheme="minorHAnsi"/>
            <w:sz w:val="22"/>
            <w:szCs w:val="22"/>
            <w:lang w:val="fr-FR"/>
          </w:rPr>
          <w:id w:val="-1149281178"/>
          <w:placeholder>
            <w:docPart w:val="DefaultPlaceholder_1081868575"/>
          </w:placeholder>
          <w:comboBox>
            <w:listItem w:displayText="Angélique GILLES, Greffier chef de service" w:value="Angélique GILLES, Greffier chef de service"/>
            <w:listItem w:displayText="Murielle LAMBERT, Greffier" w:value="Murielle LAMBERT, Greffier"/>
            <w:listItem w:displayText="Béatrice PETIT, Greffier" w:value="Béatrice PETIT, Greffier"/>
            <w:listItem w:displayText="Anne DE LAET, Greffier" w:value="Anne DE LAET, Greffier"/>
            <w:listItem w:displayText="Camille JASSELETTE, Greffier" w:value="Camille JASSELETTE, Greffier"/>
          </w:comboBox>
        </w:sdtPr>
        <w:sdtEndPr/>
        <w:sdtContent>
          <w:r>
            <w:rPr>
              <w:rFonts w:asciiTheme="minorHAnsi" w:hAnsiTheme="minorHAnsi" w:cstheme="minorHAnsi"/>
              <w:sz w:val="22"/>
              <w:szCs w:val="22"/>
              <w:lang w:val="fr-FR"/>
            </w:rPr>
            <w:t>Angélique GILLES, Greffier chef de service</w:t>
          </w:r>
        </w:sdtContent>
      </w:sdt>
      <w:r>
        <w:rPr>
          <w:rFonts w:asciiTheme="minorHAnsi" w:hAnsiTheme="minorHAnsi" w:cstheme="minorHAnsi"/>
          <w:sz w:val="22"/>
          <w:szCs w:val="22"/>
          <w:lang w:val="fr-FR"/>
        </w:rPr>
        <w:t>, avons rendu l’ordonnance suivante :</w:t>
      </w:r>
    </w:p>
    <w:p w14:paraId="35CE329C" w14:textId="77777777" w:rsidR="002611E9" w:rsidRDefault="002611E9" w:rsidP="003B3F57">
      <w:pPr>
        <w:pStyle w:val="Textebrut"/>
        <w:rPr>
          <w:rFonts w:asciiTheme="minorHAnsi" w:hAnsiTheme="minorHAnsi" w:cstheme="minorHAnsi"/>
          <w:sz w:val="22"/>
          <w:szCs w:val="22"/>
          <w:lang w:val="fr-FR"/>
        </w:rPr>
      </w:pPr>
    </w:p>
    <w:p w14:paraId="42784C89" w14:textId="77777777" w:rsidR="002611E9" w:rsidRPr="00847390" w:rsidRDefault="002611E9" w:rsidP="002611E9">
      <w:pPr>
        <w:pStyle w:val="Paragraphedeliste"/>
        <w:numPr>
          <w:ilvl w:val="0"/>
          <w:numId w:val="2"/>
        </w:numPr>
        <w:ind w:left="567" w:hanging="567"/>
        <w:jc w:val="both"/>
        <w:rPr>
          <w:rFonts w:asciiTheme="minorHAnsi" w:hAnsiTheme="minorHAnsi" w:cstheme="minorHAnsi"/>
          <w:b/>
          <w:snapToGrid w:val="0"/>
          <w:sz w:val="22"/>
          <w:szCs w:val="22"/>
          <w:u w:val="single"/>
          <w:lang w:eastAsia="fr-FR"/>
        </w:rPr>
      </w:pPr>
      <w:r w:rsidRPr="00847390">
        <w:rPr>
          <w:rFonts w:asciiTheme="minorHAnsi" w:hAnsiTheme="minorHAnsi" w:cstheme="minorHAnsi"/>
          <w:b/>
          <w:snapToGrid w:val="0"/>
          <w:sz w:val="22"/>
          <w:szCs w:val="22"/>
          <w:u w:val="single"/>
          <w:lang w:eastAsia="fr-FR"/>
        </w:rPr>
        <w:t>Indications de procédure</w:t>
      </w:r>
    </w:p>
    <w:p w14:paraId="1C1CF0A6" w14:textId="77777777" w:rsidR="002611E9" w:rsidRPr="00847390" w:rsidRDefault="002611E9" w:rsidP="002611E9">
      <w:pPr>
        <w:rPr>
          <w:sz w:val="22"/>
          <w:szCs w:val="22"/>
          <w:lang w:val="fr-FR" w:eastAsia="en-US"/>
        </w:rPr>
      </w:pPr>
    </w:p>
    <w:p w14:paraId="1D48D1B8" w14:textId="77777777" w:rsidR="002611E9" w:rsidRPr="00847390" w:rsidRDefault="002611E9" w:rsidP="002611E9">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pièces du dossier de la procédure, notamment :</w:t>
      </w:r>
    </w:p>
    <w:p w14:paraId="0DA24947" w14:textId="77777777" w:rsidR="002611E9" w:rsidRPr="00847390" w:rsidRDefault="002611E9" w:rsidP="002611E9">
      <w:pPr>
        <w:jc w:val="both"/>
        <w:rPr>
          <w:rFonts w:asciiTheme="minorHAnsi" w:hAnsiTheme="minorHAnsi" w:cstheme="minorHAnsi"/>
          <w:snapToGrid w:val="0"/>
          <w:sz w:val="22"/>
          <w:szCs w:val="22"/>
          <w:lang w:eastAsia="fr-FR"/>
        </w:rPr>
      </w:pPr>
    </w:p>
    <w:p w14:paraId="25E1DC92" w14:textId="77777777" w:rsidR="00434F87" w:rsidRPr="002611E9" w:rsidRDefault="00236C5A" w:rsidP="00DC19BA">
      <w:pPr>
        <w:pStyle w:val="Textebrut"/>
        <w:numPr>
          <w:ilvl w:val="0"/>
          <w:numId w:val="3"/>
        </w:numPr>
        <w:rPr>
          <w:rFonts w:asciiTheme="minorHAnsi" w:hAnsiTheme="minorHAnsi" w:cstheme="minorHAnsi"/>
          <w:sz w:val="22"/>
          <w:szCs w:val="22"/>
        </w:rPr>
      </w:pPr>
      <w:r>
        <w:rPr>
          <w:rFonts w:asciiTheme="minorHAnsi" w:hAnsiTheme="minorHAnsi" w:cstheme="minorHAnsi"/>
          <w:sz w:val="22"/>
          <w:szCs w:val="22"/>
        </w:rPr>
        <w:t>La citation en référés du 15 juillet 2022</w:t>
      </w:r>
    </w:p>
    <w:p w14:paraId="64D79438" w14:textId="77777777" w:rsidR="00434F87" w:rsidRDefault="00434F87" w:rsidP="003B3F57">
      <w:pPr>
        <w:pStyle w:val="Textebrut"/>
        <w:rPr>
          <w:rFonts w:asciiTheme="minorHAnsi" w:hAnsiTheme="minorHAnsi" w:cstheme="minorHAnsi"/>
          <w:sz w:val="22"/>
          <w:szCs w:val="22"/>
          <w:lang w:val="fr-FR"/>
        </w:rPr>
      </w:pPr>
    </w:p>
    <w:p w14:paraId="3D5E179D" w14:textId="77777777" w:rsidR="00DC19BA" w:rsidRPr="00847390" w:rsidRDefault="00DC19BA" w:rsidP="00DC19BA">
      <w:pPr>
        <w:tabs>
          <w:tab w:val="center" w:pos="4252"/>
        </w:tabs>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dispositions de la loi du 15 juin 1935 sur l'emploi des langues en matière judiciaire.</w:t>
      </w:r>
    </w:p>
    <w:p w14:paraId="5DBCB1C2" w14:textId="77777777" w:rsidR="00434F87" w:rsidRDefault="00434F87" w:rsidP="003B3F57">
      <w:pPr>
        <w:pStyle w:val="Textebrut"/>
        <w:rPr>
          <w:rFonts w:asciiTheme="minorHAnsi" w:hAnsiTheme="minorHAnsi" w:cstheme="minorHAnsi"/>
          <w:sz w:val="22"/>
          <w:szCs w:val="22"/>
        </w:rPr>
      </w:pPr>
    </w:p>
    <w:p w14:paraId="2AFC4382"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Times New Roman"/>
          <w:kern w:val="0"/>
          <w:lang w:eastAsia="en-US"/>
        </w:rPr>
      </w:pPr>
      <w:r w:rsidRPr="006D1E03">
        <w:rPr>
          <w:rFonts w:ascii="Calibri" w:eastAsia="Calibri" w:hAnsi="Calibri" w:cs="Times New Roman"/>
          <w:b/>
          <w:kern w:val="0"/>
          <w:u w:val="single"/>
          <w:lang w:eastAsia="en-US"/>
        </w:rPr>
        <w:t>Objet de la demande</w:t>
      </w:r>
      <w:r>
        <w:rPr>
          <w:rFonts w:ascii="Calibri" w:eastAsia="Calibri" w:hAnsi="Calibri" w:cs="Times New Roman"/>
          <w:b/>
          <w:kern w:val="0"/>
          <w:u w:val="single"/>
          <w:lang w:eastAsia="en-US"/>
        </w:rPr>
        <w:t xml:space="preserve"> </w:t>
      </w:r>
      <w:r w:rsidRPr="006D1E03">
        <w:rPr>
          <w:rFonts w:ascii="Calibri" w:eastAsia="Calibri" w:hAnsi="Calibri" w:cs="Times New Roman"/>
          <w:b/>
          <w:kern w:val="0"/>
          <w:u w:val="single"/>
          <w:lang w:eastAsia="en-US"/>
        </w:rPr>
        <w:t>:</w:t>
      </w:r>
    </w:p>
    <w:p w14:paraId="2AB69883"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Times New Roman"/>
          <w:kern w:val="0"/>
          <w:lang w:eastAsia="en-US"/>
        </w:rPr>
      </w:pPr>
      <w:r w:rsidRPr="006D1E03">
        <w:rPr>
          <w:rFonts w:ascii="Calibri" w:eastAsia="Calibri" w:hAnsi="Calibri" w:cs="Times New Roman"/>
          <w:kern w:val="0"/>
          <w:lang w:eastAsia="en-US"/>
        </w:rPr>
        <w:t xml:space="preserve">Par citation reçue au Tribunal le 26.07.2022, </w:t>
      </w:r>
      <w:proofErr w:type="spellStart"/>
      <w:r w:rsidRPr="006D1E03">
        <w:rPr>
          <w:rFonts w:ascii="Calibri" w:eastAsia="Calibri" w:hAnsi="Calibri" w:cs="Times New Roman"/>
          <w:kern w:val="0"/>
          <w:lang w:eastAsia="en-US"/>
        </w:rPr>
        <w:t>Fédasil</w:t>
      </w:r>
      <w:proofErr w:type="spellEnd"/>
      <w:r w:rsidRPr="006D1E03">
        <w:rPr>
          <w:rFonts w:ascii="Calibri" w:eastAsia="Calibri" w:hAnsi="Calibri" w:cs="Times New Roman"/>
          <w:kern w:val="0"/>
          <w:lang w:eastAsia="en-US"/>
        </w:rPr>
        <w:t xml:space="preserve"> postule la reformation d’une ordonnance prononcée </w:t>
      </w:r>
      <w:r w:rsidR="00C253D0">
        <w:rPr>
          <w:rFonts w:ascii="Calibri" w:eastAsia="Calibri" w:hAnsi="Calibri" w:cs="Times New Roman"/>
          <w:kern w:val="0"/>
          <w:lang w:eastAsia="en-US"/>
        </w:rPr>
        <w:t>suite à une requête unilatérale</w:t>
      </w:r>
      <w:r w:rsidRPr="006D1E03">
        <w:rPr>
          <w:rFonts w:ascii="Calibri" w:eastAsia="Calibri" w:hAnsi="Calibri" w:cs="Times New Roman"/>
          <w:kern w:val="0"/>
          <w:lang w:eastAsia="en-US"/>
        </w:rPr>
        <w:t>, dans u</w:t>
      </w:r>
      <w:r w:rsidR="00C253D0">
        <w:rPr>
          <w:rFonts w:ascii="Calibri" w:eastAsia="Calibri" w:hAnsi="Calibri" w:cs="Times New Roman"/>
          <w:kern w:val="0"/>
          <w:lang w:eastAsia="en-US"/>
        </w:rPr>
        <w:t>n dossier numéroté RG 22/94/</w:t>
      </w:r>
      <w:r>
        <w:rPr>
          <w:rFonts w:ascii="Calibri" w:eastAsia="Calibri" w:hAnsi="Calibri" w:cs="Times New Roman"/>
          <w:kern w:val="0"/>
          <w:lang w:eastAsia="en-US"/>
        </w:rPr>
        <w:t>K (</w:t>
      </w:r>
      <w:r w:rsidRPr="006D1E03">
        <w:rPr>
          <w:rFonts w:ascii="Calibri" w:eastAsia="Calibri" w:hAnsi="Calibri" w:cs="Times New Roman"/>
          <w:kern w:val="0"/>
          <w:lang w:eastAsia="en-US"/>
        </w:rPr>
        <w:t>division de Namur du Tribunal du Travail de Liège), qui suspend les effets d’une déci</w:t>
      </w:r>
      <w:r>
        <w:rPr>
          <w:rFonts w:ascii="Calibri" w:eastAsia="Calibri" w:hAnsi="Calibri" w:cs="Times New Roman"/>
          <w:kern w:val="0"/>
          <w:lang w:eastAsia="en-US"/>
        </w:rPr>
        <w:t xml:space="preserve">sion de </w:t>
      </w:r>
      <w:proofErr w:type="spellStart"/>
      <w:r>
        <w:rPr>
          <w:rFonts w:ascii="Calibri" w:eastAsia="Calibri" w:hAnsi="Calibri" w:cs="Times New Roman"/>
          <w:kern w:val="0"/>
          <w:lang w:eastAsia="en-US"/>
        </w:rPr>
        <w:t>Fédasil</w:t>
      </w:r>
      <w:proofErr w:type="spellEnd"/>
      <w:r>
        <w:rPr>
          <w:rFonts w:ascii="Calibri" w:eastAsia="Calibri" w:hAnsi="Calibri" w:cs="Times New Roman"/>
          <w:kern w:val="0"/>
          <w:lang w:eastAsia="en-US"/>
        </w:rPr>
        <w:t xml:space="preserve"> du 31.05.2022 (</w:t>
      </w:r>
      <w:r w:rsidRPr="006D1E03">
        <w:rPr>
          <w:rFonts w:ascii="Calibri" w:eastAsia="Calibri" w:hAnsi="Calibri" w:cs="Times New Roman"/>
          <w:kern w:val="0"/>
          <w:lang w:eastAsia="en-US"/>
        </w:rPr>
        <w:t>soit la modification du code 207 du demandeur originaire, en lui désignant la structure d’accueil de Zaventem, en place Dublin).</w:t>
      </w:r>
    </w:p>
    <w:p w14:paraId="3A059B9A"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Times New Roman"/>
          <w:b/>
          <w:kern w:val="0"/>
          <w:u w:val="single"/>
          <w:lang w:eastAsia="en-US"/>
        </w:rPr>
      </w:pPr>
      <w:r w:rsidRPr="006D1E03">
        <w:rPr>
          <w:rFonts w:ascii="Calibri" w:eastAsia="Calibri" w:hAnsi="Calibri" w:cs="Times New Roman"/>
          <w:b/>
          <w:kern w:val="0"/>
          <w:u w:val="single"/>
          <w:lang w:eastAsia="en-US"/>
        </w:rPr>
        <w:t>Les faits :</w:t>
      </w:r>
    </w:p>
    <w:p w14:paraId="042F3DC3"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Times New Roman"/>
          <w:kern w:val="0"/>
          <w:lang w:eastAsia="en-US"/>
        </w:rPr>
      </w:pPr>
      <w:r w:rsidRPr="006D1E03">
        <w:rPr>
          <w:rFonts w:ascii="Calibri" w:eastAsia="Calibri" w:hAnsi="Calibri" w:cs="Times New Roman"/>
          <w:kern w:val="0"/>
          <w:lang w:eastAsia="en-US"/>
        </w:rPr>
        <w:t>La partie demanderesse originaire est née au Cameroun en date du 22 avril 1991.</w:t>
      </w:r>
    </w:p>
    <w:p w14:paraId="23611B03"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Times New Roman"/>
          <w:kern w:val="0"/>
          <w:lang w:eastAsia="en-US"/>
        </w:rPr>
      </w:pPr>
      <w:r w:rsidRPr="006D1E03">
        <w:rPr>
          <w:rFonts w:ascii="Calibri" w:eastAsia="Calibri" w:hAnsi="Calibri" w:cs="Times New Roman"/>
          <w:kern w:val="0"/>
          <w:lang w:eastAsia="en-US"/>
        </w:rPr>
        <w:t>Elle a introduit une demande de protection internationale en Belgique en date du 10 janvier 2022.</w:t>
      </w:r>
    </w:p>
    <w:p w14:paraId="5F560C44"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Times New Roman"/>
          <w:kern w:val="0"/>
          <w:lang w:eastAsia="en-US"/>
        </w:rPr>
      </w:pPr>
      <w:r w:rsidRPr="006D1E03">
        <w:rPr>
          <w:rFonts w:ascii="Calibri" w:eastAsia="Calibri" w:hAnsi="Calibri" w:cs="Times New Roman"/>
          <w:kern w:val="0"/>
          <w:lang w:eastAsia="en-US"/>
        </w:rPr>
        <w:t>Dans le cadre de l’application du règlement Dublin III, la France a marqué son accord pour la reprise de la demande de protection internationale en date du 13 mai 2022.</w:t>
      </w:r>
    </w:p>
    <w:p w14:paraId="0321862A"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Times New Roman"/>
          <w:kern w:val="0"/>
          <w:lang w:eastAsia="en-US"/>
        </w:rPr>
      </w:pPr>
      <w:r w:rsidRPr="006D1E03">
        <w:rPr>
          <w:rFonts w:ascii="Calibri" w:eastAsia="Calibri" w:hAnsi="Calibri" w:cs="Times New Roman"/>
          <w:kern w:val="0"/>
          <w:lang w:eastAsia="en-US"/>
        </w:rPr>
        <w:t>L’Office des étrangers a adopté  une annexe 26 quater en date du 19 mai 2022.</w:t>
      </w:r>
    </w:p>
    <w:p w14:paraId="3824BD98"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Times New Roman"/>
          <w:kern w:val="0"/>
          <w:lang w:eastAsia="en-US"/>
        </w:rPr>
      </w:pPr>
      <w:r w:rsidRPr="006D1E03">
        <w:rPr>
          <w:rFonts w:ascii="Calibri" w:eastAsia="Calibri" w:hAnsi="Calibri" w:cs="Times New Roman"/>
          <w:kern w:val="0"/>
          <w:lang w:eastAsia="en-US"/>
        </w:rPr>
        <w:t>Un recours en suspension et en annulation a été introduit devant le Conseil du contentieux des étrangers en date du 8 juin 2022, et semble être toujours pendant actuellement.</w:t>
      </w:r>
    </w:p>
    <w:p w14:paraId="748A3CDF"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Times New Roman"/>
          <w:kern w:val="0"/>
          <w:lang w:eastAsia="en-US"/>
        </w:rPr>
      </w:pPr>
      <w:r w:rsidRPr="006D1E03">
        <w:rPr>
          <w:rFonts w:ascii="Calibri" w:eastAsia="Calibri" w:hAnsi="Calibri" w:cs="Times New Roman"/>
          <w:kern w:val="0"/>
          <w:lang w:eastAsia="en-US"/>
        </w:rPr>
        <w:t>Tel est le contexte de l’adoption de la décision de FEDASIL en date du 31 mai 2022.</w:t>
      </w:r>
    </w:p>
    <w:p w14:paraId="764E20E2"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Times New Roman"/>
          <w:kern w:val="0"/>
          <w:lang w:eastAsia="en-US"/>
        </w:rPr>
      </w:pPr>
      <w:r w:rsidRPr="006D1E03">
        <w:rPr>
          <w:rFonts w:ascii="Calibri" w:eastAsia="Calibri" w:hAnsi="Calibri" w:cs="Times New Roman"/>
          <w:kern w:val="0"/>
          <w:lang w:eastAsia="en-US"/>
        </w:rPr>
        <w:t>Par l’Ordonnance prononcée en date du 09.06.2022, le Tribunal a décidé de :</w:t>
      </w:r>
    </w:p>
    <w:p w14:paraId="2E507145" w14:textId="77777777" w:rsidR="006D1E03" w:rsidRPr="006D1E03" w:rsidRDefault="006D1E03" w:rsidP="006D1E03">
      <w:pPr>
        <w:widowControl/>
        <w:numPr>
          <w:ilvl w:val="0"/>
          <w:numId w:val="4"/>
        </w:numPr>
        <w:suppressAutoHyphens w:val="0"/>
        <w:autoSpaceDN/>
        <w:spacing w:after="160" w:line="259" w:lineRule="auto"/>
        <w:contextualSpacing/>
        <w:jc w:val="both"/>
        <w:textAlignment w:val="auto"/>
        <w:rPr>
          <w:rFonts w:ascii="Calibri" w:eastAsia="Calibri" w:hAnsi="Calibri" w:cs="Calibri"/>
          <w:kern w:val="0"/>
          <w:lang w:eastAsia="en-US"/>
        </w:rPr>
      </w:pPr>
      <w:r w:rsidRPr="006D1E03">
        <w:rPr>
          <w:rFonts w:ascii="Calibri" w:eastAsia="Calibri" w:hAnsi="Calibri" w:cs="Calibri"/>
          <w:kern w:val="0"/>
          <w:lang w:eastAsia="en-US"/>
        </w:rPr>
        <w:lastRenderedPageBreak/>
        <w:t>dire la demande recevable, et fondée.</w:t>
      </w:r>
    </w:p>
    <w:p w14:paraId="5F161E95" w14:textId="77777777" w:rsidR="006D1E03" w:rsidRPr="006D1E03" w:rsidRDefault="006D1E03" w:rsidP="006D1E03">
      <w:pPr>
        <w:widowControl/>
        <w:numPr>
          <w:ilvl w:val="0"/>
          <w:numId w:val="4"/>
        </w:numPr>
        <w:suppressAutoHyphens w:val="0"/>
        <w:autoSpaceDN/>
        <w:spacing w:after="160" w:line="259" w:lineRule="auto"/>
        <w:contextualSpacing/>
        <w:jc w:val="both"/>
        <w:textAlignment w:val="auto"/>
        <w:rPr>
          <w:rFonts w:ascii="Calibri" w:eastAsia="Calibri" w:hAnsi="Calibri" w:cs="Calibri"/>
          <w:kern w:val="0"/>
          <w:lang w:eastAsia="en-US"/>
        </w:rPr>
      </w:pPr>
      <w:r w:rsidRPr="006D1E03">
        <w:rPr>
          <w:rFonts w:ascii="Calibri" w:eastAsia="Calibri" w:hAnsi="Calibri" w:cs="Calibri"/>
          <w:kern w:val="0"/>
          <w:lang w:eastAsia="en-US"/>
        </w:rPr>
        <w:t xml:space="preserve">Ce fait, ordonner la suspension immédiate des effets de la décision du 31.05.2022 de FEDASIL, modifiant le lieu obligatoire d’inscription du demandeur, en lui désignant </w:t>
      </w:r>
      <w:r w:rsidR="00C253D0">
        <w:rPr>
          <w:rFonts w:ascii="Calibri" w:eastAsia="Calibri" w:hAnsi="Calibri" w:cs="Calibri"/>
          <w:kern w:val="0"/>
          <w:lang w:eastAsia="en-US"/>
        </w:rPr>
        <w:t>le centre d’accueil de Jodoigne</w:t>
      </w:r>
      <w:r w:rsidRPr="006D1E03">
        <w:rPr>
          <w:rFonts w:ascii="Calibri" w:eastAsia="Calibri" w:hAnsi="Calibri" w:cs="Calibri"/>
          <w:kern w:val="0"/>
          <w:lang w:eastAsia="en-US"/>
        </w:rPr>
        <w:t>, en place Dublin.</w:t>
      </w:r>
    </w:p>
    <w:p w14:paraId="6EA03502" w14:textId="77777777" w:rsidR="006D1E03" w:rsidRPr="006D1E03" w:rsidRDefault="006D1E03" w:rsidP="006D1E03">
      <w:pPr>
        <w:widowControl/>
        <w:numPr>
          <w:ilvl w:val="0"/>
          <w:numId w:val="4"/>
        </w:numPr>
        <w:suppressAutoHyphens w:val="0"/>
        <w:autoSpaceDN/>
        <w:spacing w:after="160" w:line="259" w:lineRule="auto"/>
        <w:contextualSpacing/>
        <w:jc w:val="both"/>
        <w:textAlignment w:val="auto"/>
        <w:rPr>
          <w:rFonts w:ascii="Calibri" w:eastAsia="Calibri" w:hAnsi="Calibri" w:cs="Calibri"/>
          <w:kern w:val="0"/>
          <w:lang w:eastAsia="en-US"/>
        </w:rPr>
      </w:pPr>
      <w:r w:rsidRPr="006D1E03">
        <w:rPr>
          <w:rFonts w:ascii="Calibri" w:eastAsia="Calibri" w:hAnsi="Calibri" w:cs="Calibri"/>
          <w:kern w:val="0"/>
          <w:lang w:eastAsia="en-US"/>
        </w:rPr>
        <w:t>Condamner FEDASIL à maintenir l’accueil du demandeur au centre Croix-Rouge de 5001 Bel</w:t>
      </w:r>
      <w:r w:rsidR="00C253D0">
        <w:rPr>
          <w:rFonts w:ascii="Calibri" w:eastAsia="Calibri" w:hAnsi="Calibri" w:cs="Calibri"/>
          <w:kern w:val="0"/>
          <w:lang w:eastAsia="en-US"/>
        </w:rPr>
        <w:t>grade, Chemin de la Plaine n°15</w:t>
      </w:r>
      <w:r w:rsidRPr="006D1E03">
        <w:rPr>
          <w:rFonts w:ascii="Calibri" w:eastAsia="Calibri" w:hAnsi="Calibri" w:cs="Calibri"/>
          <w:kern w:val="0"/>
          <w:lang w:eastAsia="en-US"/>
        </w:rPr>
        <w:t>, dès la notification de la présente ordonnance, et ce sous peine d’une astreinte de 200 € par jour de retard, que ce soit dans le contexte du départ, ou dans le contexte de la réintégration au centre d’accueil de Belgrade. (l’astreinte est plafonnée à un montant de 5.000 €)…</w:t>
      </w:r>
    </w:p>
    <w:p w14:paraId="131E89BC"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L’ordonnance se base , de façon synthétique, sur les arguments suivants :</w:t>
      </w:r>
    </w:p>
    <w:p w14:paraId="1596BC74" w14:textId="77777777" w:rsidR="006D1E03" w:rsidRPr="006D1E03" w:rsidRDefault="006D1E03" w:rsidP="006D1E03">
      <w:pPr>
        <w:widowControl/>
        <w:numPr>
          <w:ilvl w:val="0"/>
          <w:numId w:val="5"/>
        </w:numPr>
        <w:suppressAutoHyphens w:val="0"/>
        <w:autoSpaceDN/>
        <w:spacing w:after="160" w:line="259" w:lineRule="auto"/>
        <w:contextualSpacing/>
        <w:jc w:val="both"/>
        <w:textAlignment w:val="auto"/>
        <w:rPr>
          <w:rFonts w:ascii="Calibri" w:eastAsia="Calibri" w:hAnsi="Calibri" w:cs="Calibri"/>
          <w:i/>
          <w:kern w:val="0"/>
          <w:lang w:eastAsia="en-US"/>
        </w:rPr>
      </w:pPr>
      <w:r w:rsidRPr="006D1E03">
        <w:rPr>
          <w:rFonts w:ascii="Calibri" w:eastAsia="Calibri" w:hAnsi="Calibri" w:cs="Calibri"/>
          <w:i/>
          <w:kern w:val="0"/>
          <w:lang w:eastAsia="en-US"/>
        </w:rPr>
        <w:t>« L’accueil en place Dublin, tel que modalisé par le « guide pratique » 2021, n’est pas conforme à l’A.M. du 18.04.2021 ;</w:t>
      </w:r>
    </w:p>
    <w:p w14:paraId="52C868BC" w14:textId="77777777" w:rsidR="006D1E03" w:rsidRPr="006D1E03" w:rsidRDefault="006D1E03" w:rsidP="006D1E03">
      <w:pPr>
        <w:widowControl/>
        <w:numPr>
          <w:ilvl w:val="0"/>
          <w:numId w:val="5"/>
        </w:numPr>
        <w:suppressAutoHyphens w:val="0"/>
        <w:autoSpaceDN/>
        <w:spacing w:after="160" w:line="259" w:lineRule="auto"/>
        <w:contextualSpacing/>
        <w:jc w:val="both"/>
        <w:textAlignment w:val="auto"/>
        <w:rPr>
          <w:rFonts w:ascii="Calibri" w:eastAsia="Calibri" w:hAnsi="Calibri" w:cs="Calibri"/>
          <w:i/>
          <w:kern w:val="0"/>
          <w:lang w:eastAsia="en-US"/>
        </w:rPr>
      </w:pPr>
      <w:r w:rsidRPr="006D1E03">
        <w:rPr>
          <w:rFonts w:ascii="Calibri" w:eastAsia="Calibri" w:hAnsi="Calibri" w:cs="Calibri"/>
          <w:i/>
          <w:kern w:val="0"/>
          <w:lang w:eastAsia="en-US"/>
        </w:rPr>
        <w:t>Les modalités de l’accompagnement social, prévues par ce « guide pratique », sont tout à fait susceptibles de correspondre, de fait, avec des pressions indues, non conformes à l’article 3 de la CEDH ;</w:t>
      </w:r>
    </w:p>
    <w:p w14:paraId="6D66CFC8" w14:textId="77777777" w:rsidR="006D1E03" w:rsidRPr="006D1E03" w:rsidRDefault="006D1E03" w:rsidP="006D1E03">
      <w:pPr>
        <w:widowControl/>
        <w:suppressAutoHyphens w:val="0"/>
        <w:autoSpaceDN/>
        <w:spacing w:after="160" w:line="259" w:lineRule="auto"/>
        <w:contextualSpacing/>
        <w:jc w:val="both"/>
        <w:textAlignment w:val="auto"/>
        <w:rPr>
          <w:rFonts w:ascii="Calibri" w:eastAsia="Calibri" w:hAnsi="Calibri" w:cs="Calibri"/>
          <w:i/>
          <w:kern w:val="0"/>
          <w:lang w:eastAsia="en-US"/>
        </w:rPr>
      </w:pPr>
    </w:p>
    <w:p w14:paraId="1C3E238B" w14:textId="77777777" w:rsidR="006D1E03" w:rsidRPr="006D1E03" w:rsidRDefault="006D1E03" w:rsidP="006D1E03">
      <w:pPr>
        <w:widowControl/>
        <w:suppressAutoHyphens w:val="0"/>
        <w:autoSpaceDN/>
        <w:spacing w:after="160" w:line="259" w:lineRule="auto"/>
        <w:contextualSpacing/>
        <w:jc w:val="both"/>
        <w:textAlignment w:val="auto"/>
        <w:rPr>
          <w:rFonts w:ascii="Calibri" w:eastAsia="Calibri" w:hAnsi="Calibri" w:cs="Calibri"/>
          <w:i/>
          <w:kern w:val="0"/>
          <w:lang w:val="en-GB" w:eastAsia="en-US"/>
        </w:rPr>
      </w:pPr>
      <w:r w:rsidRPr="006D1E03">
        <w:rPr>
          <w:rFonts w:ascii="Calibri" w:eastAsia="Calibri" w:hAnsi="Calibri" w:cs="Calibri"/>
          <w:i/>
          <w:kern w:val="0"/>
          <w:lang w:val="en-GB" w:eastAsia="en-US"/>
        </w:rPr>
        <w:t xml:space="preserve">Par </w:t>
      </w:r>
      <w:proofErr w:type="spellStart"/>
      <w:r w:rsidRPr="006D1E03">
        <w:rPr>
          <w:rFonts w:ascii="Calibri" w:eastAsia="Calibri" w:hAnsi="Calibri" w:cs="Calibri"/>
          <w:i/>
          <w:kern w:val="0"/>
          <w:lang w:val="en-GB" w:eastAsia="en-US"/>
        </w:rPr>
        <w:t>ailleurs</w:t>
      </w:r>
      <w:proofErr w:type="spellEnd"/>
      <w:r w:rsidRPr="006D1E03">
        <w:rPr>
          <w:rFonts w:ascii="Calibri" w:eastAsia="Calibri" w:hAnsi="Calibri" w:cs="Calibri"/>
          <w:i/>
          <w:kern w:val="0"/>
          <w:lang w:val="en-GB" w:eastAsia="en-US"/>
        </w:rPr>
        <w:t> :</w:t>
      </w:r>
    </w:p>
    <w:p w14:paraId="16E656F4" w14:textId="77777777" w:rsidR="006D1E03" w:rsidRPr="006D1E03" w:rsidRDefault="006D1E03" w:rsidP="006D1E03">
      <w:pPr>
        <w:widowControl/>
        <w:suppressAutoHyphens w:val="0"/>
        <w:autoSpaceDN/>
        <w:spacing w:after="160" w:line="259" w:lineRule="auto"/>
        <w:contextualSpacing/>
        <w:jc w:val="both"/>
        <w:textAlignment w:val="auto"/>
        <w:rPr>
          <w:rFonts w:ascii="Calibri" w:eastAsia="Calibri" w:hAnsi="Calibri" w:cs="Calibri"/>
          <w:i/>
          <w:kern w:val="0"/>
          <w:lang w:val="en-GB" w:eastAsia="en-US"/>
        </w:rPr>
      </w:pPr>
    </w:p>
    <w:p w14:paraId="1DA27EBF" w14:textId="77777777" w:rsidR="006D1E03" w:rsidRPr="006D1E03" w:rsidRDefault="006D1E03" w:rsidP="006D1E03">
      <w:pPr>
        <w:widowControl/>
        <w:numPr>
          <w:ilvl w:val="0"/>
          <w:numId w:val="5"/>
        </w:numPr>
        <w:suppressAutoHyphens w:val="0"/>
        <w:autoSpaceDN/>
        <w:spacing w:after="160" w:line="259" w:lineRule="auto"/>
        <w:contextualSpacing/>
        <w:jc w:val="both"/>
        <w:textAlignment w:val="auto"/>
        <w:rPr>
          <w:rFonts w:ascii="Calibri" w:eastAsia="Calibri" w:hAnsi="Calibri" w:cs="Calibri"/>
          <w:i/>
          <w:kern w:val="0"/>
          <w:lang w:eastAsia="en-US"/>
        </w:rPr>
      </w:pPr>
      <w:r w:rsidRPr="006D1E03">
        <w:rPr>
          <w:rFonts w:ascii="Calibri" w:eastAsia="Calibri" w:hAnsi="Calibri" w:cs="Calibri"/>
          <w:i/>
          <w:kern w:val="0"/>
          <w:lang w:eastAsia="en-US"/>
        </w:rPr>
        <w:t>La procédure des 3 rendez-vous Dublin est prévue par une circulaire, et non par un arrêté royal comme l’exige l’article 54 et la loi accueil ;</w:t>
      </w:r>
    </w:p>
    <w:p w14:paraId="7DE53063" w14:textId="77777777" w:rsidR="006D1E03" w:rsidRPr="006D1E03" w:rsidRDefault="006D1E03" w:rsidP="006D1E03">
      <w:pPr>
        <w:widowControl/>
        <w:numPr>
          <w:ilvl w:val="0"/>
          <w:numId w:val="5"/>
        </w:numPr>
        <w:suppressAutoHyphens w:val="0"/>
        <w:autoSpaceDN/>
        <w:spacing w:after="160" w:line="259" w:lineRule="auto"/>
        <w:contextualSpacing/>
        <w:jc w:val="both"/>
        <w:textAlignment w:val="auto"/>
        <w:rPr>
          <w:rFonts w:ascii="Calibri" w:eastAsia="Calibri" w:hAnsi="Calibri" w:cs="Calibri"/>
          <w:i/>
          <w:kern w:val="0"/>
          <w:lang w:eastAsia="en-US"/>
        </w:rPr>
      </w:pPr>
      <w:r w:rsidRPr="006D1E03">
        <w:rPr>
          <w:rFonts w:ascii="Calibri" w:eastAsia="Calibri" w:hAnsi="Calibri" w:cs="Calibri"/>
          <w:i/>
          <w:kern w:val="0"/>
          <w:lang w:eastAsia="en-US"/>
        </w:rPr>
        <w:t xml:space="preserve">La réduction du suivi social en place Dublin n’est pas prévue par les articles 31 et 32 de la loi accueil.  </w:t>
      </w:r>
    </w:p>
    <w:p w14:paraId="5C7E3F59" w14:textId="77777777" w:rsidR="00C253D0" w:rsidRDefault="00C253D0" w:rsidP="006D1E03">
      <w:pPr>
        <w:widowControl/>
        <w:suppressAutoHyphens w:val="0"/>
        <w:autoSpaceDN/>
        <w:spacing w:after="160" w:line="259" w:lineRule="auto"/>
        <w:jc w:val="both"/>
        <w:textAlignment w:val="auto"/>
        <w:rPr>
          <w:rFonts w:ascii="Calibri" w:eastAsia="Calibri" w:hAnsi="Calibri" w:cs="Calibri"/>
          <w:i/>
          <w:kern w:val="0"/>
          <w:lang w:eastAsia="en-US"/>
        </w:rPr>
      </w:pPr>
    </w:p>
    <w:p w14:paraId="72511D0F"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i/>
          <w:kern w:val="0"/>
          <w:lang w:eastAsia="en-US"/>
        </w:rPr>
      </w:pPr>
      <w:r w:rsidRPr="006D1E03">
        <w:rPr>
          <w:rFonts w:ascii="Calibri" w:eastAsia="Calibri" w:hAnsi="Calibri" w:cs="Calibri"/>
          <w:i/>
          <w:kern w:val="0"/>
          <w:lang w:eastAsia="en-US"/>
        </w:rPr>
        <w:t>En application de l’article 159 de la constitution, la suspension est justifiée. »</w:t>
      </w:r>
    </w:p>
    <w:p w14:paraId="2CD4BF96"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
          <w:kern w:val="0"/>
          <w:u w:val="single"/>
          <w:lang w:eastAsia="en-US"/>
        </w:rPr>
      </w:pPr>
      <w:r w:rsidRPr="006D1E03">
        <w:rPr>
          <w:rFonts w:ascii="Calibri" w:eastAsia="Calibri" w:hAnsi="Calibri" w:cs="Calibri"/>
          <w:b/>
          <w:kern w:val="0"/>
          <w:u w:val="single"/>
          <w:lang w:eastAsia="en-US"/>
        </w:rPr>
        <w:t xml:space="preserve">Discussions : </w:t>
      </w:r>
    </w:p>
    <w:p w14:paraId="78C6B023"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 xml:space="preserve">S’agissant d’une tierce opposition suite à une ordonnance prononcée sur base d’une requête unilatérale, la question de l’urgence n’a pas à être abordée spécifiquement. </w:t>
      </w:r>
    </w:p>
    <w:p w14:paraId="796015F6"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 xml:space="preserve">L’acte de tierce opposition doit permettre à son auteur de lier le débat contradictoire, suite à une ordonnance rendue sur base d’une requête unilatérale. </w:t>
      </w:r>
    </w:p>
    <w:p w14:paraId="76378A41"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
          <w:kern w:val="0"/>
          <w:u w:val="single"/>
          <w:lang w:eastAsia="en-US"/>
        </w:rPr>
      </w:pPr>
      <w:r w:rsidRPr="006D1E03">
        <w:rPr>
          <w:rFonts w:ascii="Calibri" w:eastAsia="Calibri" w:hAnsi="Calibri" w:cs="Calibri"/>
          <w:b/>
          <w:kern w:val="0"/>
          <w:u w:val="single"/>
          <w:lang w:eastAsia="en-US"/>
        </w:rPr>
        <w:t>Le rapport social :</w:t>
      </w:r>
    </w:p>
    <w:p w14:paraId="4BBFE49C"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Le Tribunal doit bien faire part d’un premier regret : alors que l’objet du litige porte sur de l’aide sociale</w:t>
      </w:r>
      <w:r w:rsidRPr="006D1E03">
        <w:rPr>
          <w:rFonts w:ascii="Calibri" w:eastAsia="Calibri" w:hAnsi="Calibri" w:cs="Calibri"/>
          <w:kern w:val="0"/>
          <w:vertAlign w:val="superscript"/>
          <w:lang w:eastAsia="en-US"/>
        </w:rPr>
        <w:footnoteReference w:id="1"/>
      </w:r>
      <w:r w:rsidR="00C253D0">
        <w:rPr>
          <w:rFonts w:ascii="Calibri" w:eastAsia="Calibri" w:hAnsi="Calibri" w:cs="Calibri"/>
          <w:kern w:val="0"/>
          <w:lang w:eastAsia="en-US"/>
        </w:rPr>
        <w:t xml:space="preserve"> en nature (</w:t>
      </w:r>
      <w:r w:rsidRPr="006D1E03">
        <w:rPr>
          <w:rFonts w:ascii="Calibri" w:eastAsia="Calibri" w:hAnsi="Calibri" w:cs="Calibri"/>
          <w:i/>
          <w:kern w:val="0"/>
          <w:lang w:eastAsia="en-US"/>
        </w:rPr>
        <w:t xml:space="preserve">in </w:t>
      </w:r>
      <w:proofErr w:type="spellStart"/>
      <w:r w:rsidRPr="006D1E03">
        <w:rPr>
          <w:rFonts w:ascii="Calibri" w:eastAsia="Calibri" w:hAnsi="Calibri" w:cs="Calibri"/>
          <w:i/>
          <w:kern w:val="0"/>
          <w:lang w:eastAsia="en-US"/>
        </w:rPr>
        <w:t>casu</w:t>
      </w:r>
      <w:proofErr w:type="spellEnd"/>
      <w:r w:rsidRPr="006D1E03">
        <w:rPr>
          <w:rFonts w:ascii="Calibri" w:eastAsia="Calibri" w:hAnsi="Calibri" w:cs="Calibri"/>
          <w:kern w:val="0"/>
          <w:lang w:eastAsia="en-US"/>
        </w:rPr>
        <w:t xml:space="preserve">, l’accueil par </w:t>
      </w:r>
      <w:proofErr w:type="spellStart"/>
      <w:r w:rsidRPr="006D1E03">
        <w:rPr>
          <w:rFonts w:ascii="Calibri" w:eastAsia="Calibri" w:hAnsi="Calibri" w:cs="Calibri"/>
          <w:kern w:val="0"/>
          <w:lang w:eastAsia="en-US"/>
        </w:rPr>
        <w:t>Fédasil</w:t>
      </w:r>
      <w:proofErr w:type="spellEnd"/>
      <w:r w:rsidRPr="006D1E03">
        <w:rPr>
          <w:rFonts w:ascii="Calibri" w:eastAsia="Calibri" w:hAnsi="Calibri" w:cs="Calibri"/>
          <w:kern w:val="0"/>
          <w:lang w:eastAsia="en-US"/>
        </w:rPr>
        <w:t xml:space="preserve"> d’un demandeur de protection internationale), nonobstant des précédentes demandes formulées dans d’autres dossiers, </w:t>
      </w:r>
      <w:proofErr w:type="spellStart"/>
      <w:r w:rsidRPr="006D1E03">
        <w:rPr>
          <w:rFonts w:ascii="Calibri" w:eastAsia="Calibri" w:hAnsi="Calibri" w:cs="Calibri"/>
          <w:kern w:val="0"/>
          <w:lang w:eastAsia="en-US"/>
        </w:rPr>
        <w:t>Fédasil</w:t>
      </w:r>
      <w:proofErr w:type="spellEnd"/>
      <w:r w:rsidRPr="006D1E03">
        <w:rPr>
          <w:rFonts w:ascii="Calibri" w:eastAsia="Calibri" w:hAnsi="Calibri" w:cs="Calibri"/>
          <w:kern w:val="0"/>
          <w:lang w:eastAsia="en-US"/>
        </w:rPr>
        <w:t xml:space="preserve"> ne prend pas l’initiative de déposer le rapport social visé aux articles 31 et 32 de la loi accueil.</w:t>
      </w:r>
    </w:p>
    <w:p w14:paraId="1BB21E66"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La question n’a rien de théorique, en ce sens que s’agissant de déterminer si telles conditions d’accueil sont adéquates, ou pas, au regard des caractéristiques personnelles du demandeur originaire</w:t>
      </w:r>
      <w:r w:rsidR="00C253D0">
        <w:rPr>
          <w:rFonts w:ascii="Calibri" w:eastAsia="Calibri" w:hAnsi="Calibri" w:cs="Calibri"/>
          <w:kern w:val="0"/>
          <w:lang w:eastAsia="en-US"/>
        </w:rPr>
        <w:t>s</w:t>
      </w:r>
      <w:r w:rsidRPr="006D1E03">
        <w:rPr>
          <w:rFonts w:ascii="Calibri" w:eastAsia="Calibri" w:hAnsi="Calibri" w:cs="Calibri"/>
          <w:kern w:val="0"/>
          <w:lang w:eastAsia="en-US"/>
        </w:rPr>
        <w:t xml:space="preserve">, le Tribunal se voit privé de la consultation d’un rapport social, concernant les </w:t>
      </w:r>
      <w:r w:rsidRPr="006D1E03">
        <w:rPr>
          <w:rFonts w:ascii="Calibri" w:eastAsia="Calibri" w:hAnsi="Calibri" w:cs="Calibri"/>
          <w:kern w:val="0"/>
          <w:lang w:eastAsia="en-US"/>
        </w:rPr>
        <w:lastRenderedPageBreak/>
        <w:t>demandeur</w:t>
      </w:r>
      <w:r w:rsidR="00C253D0">
        <w:rPr>
          <w:rFonts w:ascii="Calibri" w:eastAsia="Calibri" w:hAnsi="Calibri" w:cs="Calibri"/>
          <w:kern w:val="0"/>
          <w:lang w:eastAsia="en-US"/>
        </w:rPr>
        <w:t>s</w:t>
      </w:r>
      <w:r w:rsidRPr="006D1E03">
        <w:rPr>
          <w:rFonts w:ascii="Calibri" w:eastAsia="Calibri" w:hAnsi="Calibri" w:cs="Calibri"/>
          <w:kern w:val="0"/>
          <w:lang w:eastAsia="en-US"/>
        </w:rPr>
        <w:t xml:space="preserve"> originaire</w:t>
      </w:r>
      <w:r w:rsidR="00C253D0">
        <w:rPr>
          <w:rFonts w:ascii="Calibri" w:eastAsia="Calibri" w:hAnsi="Calibri" w:cs="Calibri"/>
          <w:kern w:val="0"/>
          <w:lang w:eastAsia="en-US"/>
        </w:rPr>
        <w:t>s</w:t>
      </w:r>
      <w:r w:rsidRPr="006D1E03">
        <w:rPr>
          <w:rFonts w:ascii="Calibri" w:eastAsia="Calibri" w:hAnsi="Calibri" w:cs="Calibri"/>
          <w:kern w:val="0"/>
          <w:lang w:eastAsia="en-US"/>
        </w:rPr>
        <w:t>, qui existe pourtant bel et bien en application des articles 31 et 32 de la loi du 12.01.2007.</w:t>
      </w:r>
    </w:p>
    <w:p w14:paraId="1B44EDD9"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C’est assurément dommage</w:t>
      </w:r>
      <w:r w:rsidRPr="006D1E03">
        <w:rPr>
          <w:rFonts w:ascii="Calibri" w:eastAsia="Calibri" w:hAnsi="Calibri" w:cs="Calibri"/>
          <w:kern w:val="0"/>
          <w:vertAlign w:val="superscript"/>
          <w:lang w:eastAsia="en-US"/>
        </w:rPr>
        <w:footnoteReference w:id="2"/>
      </w:r>
      <w:r w:rsidRPr="006D1E03">
        <w:rPr>
          <w:rFonts w:ascii="Calibri" w:eastAsia="Calibri" w:hAnsi="Calibri" w:cs="Calibri"/>
          <w:kern w:val="0"/>
          <w:lang w:eastAsia="en-US"/>
        </w:rPr>
        <w:t>.</w:t>
      </w:r>
    </w:p>
    <w:p w14:paraId="3E65598D"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Si, au stade des apparences de droit et du provisoire, le Tribunal ne reportera pas le dossier, sur cette base, il faut constater que cette absence de production de rapport social au stade du recours judiciaire est dommageable, le Tribunal ne connaissant pas toutes les données relatives au demandeur originaire (et la description d’un parcours migratoire peut, par exemple, permettre d’appréhender d’éventuelles vulnérabilités chez le demandeur de protection internationale</w:t>
      </w:r>
      <w:r w:rsidRPr="006D1E03">
        <w:rPr>
          <w:rFonts w:ascii="Calibri" w:eastAsia="Calibri" w:hAnsi="Calibri" w:cs="Calibri"/>
          <w:kern w:val="0"/>
          <w:vertAlign w:val="superscript"/>
          <w:lang w:eastAsia="en-US"/>
        </w:rPr>
        <w:footnoteReference w:id="3"/>
      </w:r>
      <w:r w:rsidRPr="006D1E03">
        <w:rPr>
          <w:rFonts w:ascii="Calibri" w:eastAsia="Calibri" w:hAnsi="Calibri" w:cs="Calibri"/>
          <w:kern w:val="0"/>
          <w:lang w:eastAsia="en-US"/>
        </w:rPr>
        <w:t>) .</w:t>
      </w:r>
    </w:p>
    <w:p w14:paraId="51294725"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Une évolution constructive des choses reste espérée à cet égard.</w:t>
      </w:r>
    </w:p>
    <w:p w14:paraId="379B36E0"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
          <w:kern w:val="0"/>
          <w:u w:val="single"/>
          <w:lang w:eastAsia="en-US"/>
        </w:rPr>
      </w:pPr>
      <w:r w:rsidRPr="006D1E03">
        <w:rPr>
          <w:rFonts w:ascii="Calibri" w:eastAsia="Calibri" w:hAnsi="Calibri" w:cs="Calibri"/>
          <w:b/>
          <w:kern w:val="0"/>
          <w:u w:val="single"/>
          <w:lang w:eastAsia="en-US"/>
        </w:rPr>
        <w:t>L’article 54 de la loi accueil :</w:t>
      </w:r>
    </w:p>
    <w:p w14:paraId="58950072"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Le premier argument sur base duquel l’ordonnance du 09.06.2022 a été prononcée, est celui de</w:t>
      </w:r>
      <w:r w:rsidR="00697CA5">
        <w:rPr>
          <w:rFonts w:ascii="Calibri" w:eastAsia="Calibri" w:hAnsi="Calibri" w:cs="Calibri"/>
          <w:kern w:val="0"/>
          <w:lang w:eastAsia="en-US"/>
        </w:rPr>
        <w:t xml:space="preserve"> l’article 54 de la loi accueil</w:t>
      </w:r>
      <w:r w:rsidRPr="006D1E03">
        <w:rPr>
          <w:rFonts w:ascii="Calibri" w:eastAsia="Calibri" w:hAnsi="Calibri" w:cs="Calibri"/>
          <w:kern w:val="0"/>
          <w:lang w:eastAsia="en-US"/>
        </w:rPr>
        <w:t>, qui porte que :</w:t>
      </w:r>
    </w:p>
    <w:p w14:paraId="673F03C8" w14:textId="77777777" w:rsidR="00C253D0" w:rsidRDefault="006D1E03" w:rsidP="00C253D0">
      <w:pPr>
        <w:widowControl/>
        <w:suppressAutoHyphens w:val="0"/>
        <w:autoSpaceDN/>
        <w:spacing w:after="160" w:line="259" w:lineRule="auto"/>
        <w:jc w:val="both"/>
        <w:textAlignment w:val="auto"/>
        <w:rPr>
          <w:rFonts w:ascii="Calibri" w:eastAsia="Calibri" w:hAnsi="Calibri" w:cs="Calibri"/>
          <w:bCs/>
          <w:i/>
          <w:color w:val="000000"/>
          <w:kern w:val="0"/>
          <w:lang w:eastAsia="en-US"/>
        </w:rPr>
      </w:pPr>
      <w:r w:rsidRPr="006D1E03">
        <w:rPr>
          <w:rFonts w:ascii="Calibri" w:eastAsia="Calibri" w:hAnsi="Calibri" w:cs="Calibri"/>
          <w:bCs/>
          <w:i/>
          <w:color w:val="000000"/>
          <w:kern w:val="0"/>
          <w:lang w:eastAsia="en-US"/>
        </w:rPr>
        <w:t>« L'Agence veille à ce que le bénéficiaire de l'accueil ait accès à un programme de retour volontaire dans son pays d'origine ou dans un pays tiers.</w:t>
      </w:r>
    </w:p>
    <w:p w14:paraId="7780FED9" w14:textId="77777777" w:rsidR="006D1E03" w:rsidRPr="006D1E03" w:rsidRDefault="006D1E03" w:rsidP="00C253D0">
      <w:pPr>
        <w:widowControl/>
        <w:suppressAutoHyphens w:val="0"/>
        <w:autoSpaceDN/>
        <w:spacing w:after="160" w:line="259" w:lineRule="auto"/>
        <w:jc w:val="both"/>
        <w:textAlignment w:val="auto"/>
        <w:rPr>
          <w:rFonts w:ascii="Calibri" w:eastAsia="Calibri" w:hAnsi="Calibri" w:cs="Calibri"/>
          <w:bCs/>
          <w:i/>
          <w:color w:val="000000"/>
          <w:kern w:val="0"/>
          <w:lang w:eastAsia="en-US"/>
        </w:rPr>
      </w:pPr>
      <w:r w:rsidRPr="006D1E03">
        <w:rPr>
          <w:rFonts w:ascii="Calibri" w:eastAsia="Calibri" w:hAnsi="Calibri" w:cs="Calibri"/>
          <w:bCs/>
          <w:i/>
          <w:color w:val="000000"/>
          <w:kern w:val="0"/>
          <w:lang w:eastAsia="en-US"/>
        </w:rPr>
        <w:t>  Ce programme ainsi que le cadre dans lequel il s'opère sont définis par le Roi. Il consiste notamment en des modules de formations adaptés ainsi que la prise en charge des frais de voyage et, le cas échéant, d'un accompagnement à la réinsertion dans l'Etat d'origine ou dans un Etat tiers.</w:t>
      </w:r>
      <w:r w:rsidRPr="006D1E03">
        <w:rPr>
          <w:rFonts w:ascii="Calibri" w:eastAsia="Calibri" w:hAnsi="Calibri" w:cs="Calibri"/>
          <w:bCs/>
          <w:i/>
          <w:color w:val="000000"/>
          <w:kern w:val="0"/>
          <w:lang w:eastAsia="en-US"/>
        </w:rPr>
        <w:br/>
        <w:t>  A cette fin, l'Agence peut conclure des conventions avec des tiers. »</w:t>
      </w:r>
    </w:p>
    <w:p w14:paraId="2ABDB9F4"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Dans le cas qui nous occupe, la procédure des trois entretiens est prévue par une circulaire, et non pas par le Roi, comme l’exige l’article 54 reproduit ci-dessus.</w:t>
      </w:r>
    </w:p>
    <w:p w14:paraId="4B938781"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A l’analyse du Tribunal, ce point pose une réel problème.</w:t>
      </w:r>
    </w:p>
    <w:p w14:paraId="75C22CBD"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En effet, à côté de la circulaire du 22.09.2020 décrivant la procédure des trois entretiens en place Dublin, le Tribunal, au gré des nombreux dossiers concernant l’application du règlement Dublin III, doit bien poser le constat au niveau de l’accueil, que la circulaire en question n’est pas systématiq</w:t>
      </w:r>
      <w:r w:rsidR="00C253D0">
        <w:rPr>
          <w:rFonts w:ascii="Calibri" w:eastAsia="Calibri" w:hAnsi="Calibri" w:cs="Calibri"/>
          <w:bCs/>
          <w:color w:val="000000"/>
          <w:kern w:val="0"/>
          <w:lang w:eastAsia="en-US"/>
        </w:rPr>
        <w:t xml:space="preserve">uement respectée par </w:t>
      </w:r>
      <w:proofErr w:type="spellStart"/>
      <w:r w:rsidR="00C253D0">
        <w:rPr>
          <w:rFonts w:ascii="Calibri" w:eastAsia="Calibri" w:hAnsi="Calibri" w:cs="Calibri"/>
          <w:bCs/>
          <w:color w:val="000000"/>
          <w:kern w:val="0"/>
          <w:lang w:eastAsia="en-US"/>
        </w:rPr>
        <w:t>Fédasil</w:t>
      </w:r>
      <w:proofErr w:type="spellEnd"/>
      <w:r w:rsidR="00C253D0">
        <w:rPr>
          <w:rFonts w:ascii="Calibri" w:eastAsia="Calibri" w:hAnsi="Calibri" w:cs="Calibri"/>
          <w:bCs/>
          <w:color w:val="000000"/>
          <w:kern w:val="0"/>
          <w:lang w:eastAsia="en-US"/>
        </w:rPr>
        <w:t xml:space="preserve"> et/</w:t>
      </w:r>
      <w:r w:rsidRPr="006D1E03">
        <w:rPr>
          <w:rFonts w:ascii="Calibri" w:eastAsia="Calibri" w:hAnsi="Calibri" w:cs="Calibri"/>
          <w:bCs/>
          <w:color w:val="000000"/>
          <w:kern w:val="0"/>
          <w:lang w:eastAsia="en-US"/>
        </w:rPr>
        <w:t>ou l’Office des Etrangers.</w:t>
      </w:r>
    </w:p>
    <w:p w14:paraId="353B3670"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Des jugements prononcés au fond</w:t>
      </w:r>
      <w:r w:rsidRPr="006D1E03">
        <w:rPr>
          <w:rFonts w:ascii="Calibri" w:eastAsia="Calibri" w:hAnsi="Calibri" w:cs="Calibri"/>
          <w:bCs/>
          <w:color w:val="000000"/>
          <w:kern w:val="0"/>
          <w:vertAlign w:val="superscript"/>
          <w:lang w:eastAsia="en-US"/>
        </w:rPr>
        <w:footnoteReference w:id="4"/>
      </w:r>
      <w:r w:rsidRPr="006D1E03">
        <w:rPr>
          <w:rFonts w:ascii="Calibri" w:eastAsia="Calibri" w:hAnsi="Calibri" w:cs="Calibri"/>
          <w:bCs/>
          <w:color w:val="000000"/>
          <w:kern w:val="0"/>
          <w:lang w:eastAsia="en-US"/>
        </w:rPr>
        <w:t xml:space="preserve"> ont déjà constatés que le travailleur social n’était pas systématiquement présent lors du deuxième entretien, que l’agent de l’Office des Etrangers pouvait à l’occasion être remplacé par un policier, ou encore qu’un traducteur n’était pas systématiquement présent sur place durant l’entretien</w:t>
      </w:r>
      <w:r w:rsidRPr="006D1E03">
        <w:rPr>
          <w:rFonts w:ascii="Calibri" w:eastAsia="Calibri" w:hAnsi="Calibri" w:cs="Calibri"/>
          <w:bCs/>
          <w:color w:val="000000"/>
          <w:kern w:val="0"/>
          <w:vertAlign w:val="superscript"/>
          <w:lang w:eastAsia="en-US"/>
        </w:rPr>
        <w:footnoteReference w:id="5"/>
      </w:r>
      <w:r w:rsidRPr="006D1E03">
        <w:rPr>
          <w:rFonts w:ascii="Calibri" w:eastAsia="Calibri" w:hAnsi="Calibri" w:cs="Calibri"/>
          <w:bCs/>
          <w:color w:val="000000"/>
          <w:kern w:val="0"/>
          <w:lang w:eastAsia="en-US"/>
        </w:rPr>
        <w:t>, …</w:t>
      </w:r>
    </w:p>
    <w:p w14:paraId="3BA43031"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 xml:space="preserve">La nature juridique de l’acte prévoyant la procédure Dublin (une circulaire) pose problème en ce sens que non  seulement elle n’est pas conforme à l’article 54 de la loi accueil, mais également en ce qu’elle n’est pas contraignante pour </w:t>
      </w:r>
      <w:proofErr w:type="spellStart"/>
      <w:r w:rsidRPr="006D1E03">
        <w:rPr>
          <w:rFonts w:ascii="Calibri" w:eastAsia="Calibri" w:hAnsi="Calibri" w:cs="Calibri"/>
          <w:bCs/>
          <w:color w:val="000000"/>
          <w:kern w:val="0"/>
          <w:lang w:eastAsia="en-US"/>
        </w:rPr>
        <w:t>Fédasil</w:t>
      </w:r>
      <w:proofErr w:type="spellEnd"/>
      <w:r w:rsidRPr="006D1E03">
        <w:rPr>
          <w:rFonts w:ascii="Calibri" w:eastAsia="Calibri" w:hAnsi="Calibri" w:cs="Calibri"/>
          <w:bCs/>
          <w:color w:val="000000"/>
          <w:kern w:val="0"/>
          <w:lang w:eastAsia="en-US"/>
        </w:rPr>
        <w:t xml:space="preserve"> et qu’elle n’est pas une source de droits pour les tiers.</w:t>
      </w:r>
    </w:p>
    <w:p w14:paraId="24D9A8E9"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lastRenderedPageBreak/>
        <w:t>Quelles garanties procédurales en place Dublin pour le demandeur de protection internationale  ?</w:t>
      </w:r>
    </w:p>
    <w:p w14:paraId="4D31B5B4"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En l‘absence d’arrê</w:t>
      </w:r>
      <w:r w:rsidR="00C253D0">
        <w:rPr>
          <w:rFonts w:ascii="Calibri" w:eastAsia="Calibri" w:hAnsi="Calibri" w:cs="Calibri"/>
          <w:bCs/>
          <w:color w:val="000000"/>
          <w:kern w:val="0"/>
          <w:lang w:eastAsia="en-US"/>
        </w:rPr>
        <w:t>té royal, la question est posée</w:t>
      </w:r>
      <w:r w:rsidRPr="006D1E03">
        <w:rPr>
          <w:rFonts w:ascii="Calibri" w:eastAsia="Calibri" w:hAnsi="Calibri" w:cs="Calibri"/>
          <w:bCs/>
          <w:color w:val="000000"/>
          <w:kern w:val="0"/>
          <w:lang w:eastAsia="en-US"/>
        </w:rPr>
        <w:t xml:space="preserve">, et </w:t>
      </w:r>
      <w:proofErr w:type="spellStart"/>
      <w:r w:rsidRPr="006D1E03">
        <w:rPr>
          <w:rFonts w:ascii="Calibri" w:eastAsia="Calibri" w:hAnsi="Calibri" w:cs="Calibri"/>
          <w:bCs/>
          <w:color w:val="000000"/>
          <w:kern w:val="0"/>
          <w:lang w:eastAsia="en-US"/>
        </w:rPr>
        <w:t>Fédasil</w:t>
      </w:r>
      <w:proofErr w:type="spellEnd"/>
      <w:r w:rsidRPr="006D1E03">
        <w:rPr>
          <w:rFonts w:ascii="Calibri" w:eastAsia="Calibri" w:hAnsi="Calibri" w:cs="Calibri"/>
          <w:bCs/>
          <w:color w:val="000000"/>
          <w:kern w:val="0"/>
          <w:lang w:eastAsia="en-US"/>
        </w:rPr>
        <w:t xml:space="preserve"> n’aborde pas cette question importante dans son acte de tierce opposition</w:t>
      </w:r>
      <w:r w:rsidRPr="006D1E03">
        <w:rPr>
          <w:rFonts w:ascii="Calibri" w:eastAsia="Calibri" w:hAnsi="Calibri" w:cs="Calibri"/>
          <w:bCs/>
          <w:color w:val="000000"/>
          <w:kern w:val="0"/>
          <w:vertAlign w:val="superscript"/>
          <w:lang w:eastAsia="en-US"/>
        </w:rPr>
        <w:footnoteReference w:id="6"/>
      </w:r>
      <w:r w:rsidRPr="006D1E03">
        <w:rPr>
          <w:rFonts w:ascii="Calibri" w:eastAsia="Calibri" w:hAnsi="Calibri" w:cs="Calibri"/>
          <w:bCs/>
          <w:color w:val="000000"/>
          <w:kern w:val="0"/>
          <w:lang w:eastAsia="en-US"/>
        </w:rPr>
        <w:t xml:space="preserve">, alors que l’ordonnance dont recours se base clairement, notamment, sur cet argument. </w:t>
      </w:r>
    </w:p>
    <w:p w14:paraId="0714AA0A"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 xml:space="preserve">Sur cette base, la tierce opposition est déclarée non fondée, en ce sens  que l’application de la décision de </w:t>
      </w:r>
      <w:proofErr w:type="spellStart"/>
      <w:r w:rsidRPr="006D1E03">
        <w:rPr>
          <w:rFonts w:ascii="Calibri" w:eastAsia="Calibri" w:hAnsi="Calibri" w:cs="Calibri"/>
          <w:bCs/>
          <w:color w:val="000000"/>
          <w:kern w:val="0"/>
          <w:lang w:eastAsia="en-US"/>
        </w:rPr>
        <w:t>Fédasil</w:t>
      </w:r>
      <w:proofErr w:type="spellEnd"/>
      <w:r w:rsidRPr="006D1E03">
        <w:rPr>
          <w:rFonts w:ascii="Calibri" w:eastAsia="Calibri" w:hAnsi="Calibri" w:cs="Calibri"/>
          <w:bCs/>
          <w:color w:val="000000"/>
          <w:kern w:val="0"/>
          <w:lang w:eastAsia="en-US"/>
        </w:rPr>
        <w:t xml:space="preserve"> du 31.05.2022 va générer l’application de la procédure « des trois entretiens » qui ne présente aucune garantie procédurale pour le demandeur de protection internationale, ce qui est tout à fait susceptible de gé</w:t>
      </w:r>
      <w:r w:rsidR="00C253D0">
        <w:rPr>
          <w:rFonts w:ascii="Calibri" w:eastAsia="Calibri" w:hAnsi="Calibri" w:cs="Calibri"/>
          <w:bCs/>
          <w:color w:val="000000"/>
          <w:kern w:val="0"/>
          <w:lang w:eastAsia="en-US"/>
        </w:rPr>
        <w:t>nérer un stress psychologique (</w:t>
      </w:r>
      <w:r w:rsidRPr="006D1E03">
        <w:rPr>
          <w:rFonts w:ascii="Calibri" w:eastAsia="Calibri" w:hAnsi="Calibri" w:cs="Calibri"/>
          <w:bCs/>
          <w:color w:val="000000"/>
          <w:kern w:val="0"/>
          <w:lang w:eastAsia="en-US"/>
        </w:rPr>
        <w:t>ex. : un entretien mené par un policier, sans présence d’un travailleur social, et sans traducteur effectivement disponible), voir une mise en péril de ses droits fondamentaux</w:t>
      </w:r>
      <w:r w:rsidR="00C253D0">
        <w:rPr>
          <w:rFonts w:ascii="Calibri" w:eastAsia="Calibri" w:hAnsi="Calibri" w:cs="Calibri"/>
          <w:bCs/>
          <w:color w:val="000000"/>
          <w:kern w:val="0"/>
          <w:lang w:eastAsia="en-US"/>
        </w:rPr>
        <w:t xml:space="preserve"> (</w:t>
      </w:r>
      <w:r w:rsidRPr="006D1E03">
        <w:rPr>
          <w:rFonts w:ascii="Calibri" w:eastAsia="Calibri" w:hAnsi="Calibri" w:cs="Calibri"/>
          <w:bCs/>
          <w:color w:val="000000"/>
          <w:kern w:val="0"/>
          <w:lang w:eastAsia="en-US"/>
        </w:rPr>
        <w:t xml:space="preserve">à défaut de comprendre ce que se dit à l’entretien). </w:t>
      </w:r>
    </w:p>
    <w:p w14:paraId="3ECBE779"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Il convient de ne pas oublier qu’en son paragraphe 44, l’arrêt de la CJUE du 26.03.2021 porte que :</w:t>
      </w:r>
    </w:p>
    <w:p w14:paraId="2F7BDC62"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i/>
          <w:color w:val="000000"/>
          <w:kern w:val="0"/>
          <w:lang w:eastAsia="en-US"/>
        </w:rPr>
      </w:pPr>
      <w:r w:rsidRPr="006D1E03">
        <w:rPr>
          <w:rFonts w:ascii="Calibri" w:eastAsia="Calibri" w:hAnsi="Calibri" w:cs="Calibri"/>
          <w:bCs/>
          <w:color w:val="000000"/>
          <w:kern w:val="0"/>
          <w:lang w:eastAsia="en-US"/>
        </w:rPr>
        <w:t xml:space="preserve"> </w:t>
      </w:r>
      <w:r w:rsidRPr="006D1E03">
        <w:rPr>
          <w:rFonts w:ascii="Calibri" w:eastAsia="Calibri" w:hAnsi="Calibri" w:cs="Calibri"/>
          <w:i/>
          <w:color w:val="000000"/>
          <w:kern w:val="0"/>
          <w:lang w:eastAsia="en-US"/>
        </w:rPr>
        <w:t>« Cela étant, il convient de préciser que les informations fournies aux demandeurs et les entretiens réalisés avec ceux-ci dans le centre d’accueil ouvert vers lequel ils ont été dirigés ne peuvent être tels qu’ils seraient susceptibles d’exercer une pression indue sur les demandeurs de protection internationale afin qu’ils renoncent à exercer leurs droits procéduraux qu’ils tirent du règlement Dublin III. »</w:t>
      </w:r>
    </w:p>
    <w:p w14:paraId="3DC263C2"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Seule une norme contraignante, portant des droits garantis pour le demandeur de protection internationale, peut permettre de garantir à chaque personne la protection de ses droits fondamentaux, et ce, conformément à l’article 54 de la loi accueil.</w:t>
      </w:r>
    </w:p>
    <w:p w14:paraId="6579E03E"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
          <w:bCs/>
          <w:color w:val="000000"/>
          <w:kern w:val="0"/>
          <w:u w:val="single"/>
          <w:lang w:eastAsia="en-US"/>
        </w:rPr>
      </w:pPr>
      <w:r w:rsidRPr="006D1E03">
        <w:rPr>
          <w:rFonts w:ascii="Calibri" w:eastAsia="Calibri" w:hAnsi="Calibri" w:cs="Calibri"/>
          <w:b/>
          <w:bCs/>
          <w:color w:val="000000"/>
          <w:kern w:val="0"/>
          <w:u w:val="single"/>
          <w:lang w:eastAsia="en-US"/>
        </w:rPr>
        <w:t>L’accueil en place Dublin :</w:t>
      </w:r>
    </w:p>
    <w:p w14:paraId="0F9C9167"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Un autre argument ayant servi de base à l’ordonnance du 09.06.2022, reste la délicate question des condition d’accueil dans une place Dublin, en comparaison à une place d’accueil dans le centre d’accueil où réside actuellement le demandeur originaire.</w:t>
      </w:r>
    </w:p>
    <w:p w14:paraId="0482DEF5"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proofErr w:type="spellStart"/>
      <w:r w:rsidRPr="006D1E03">
        <w:rPr>
          <w:rFonts w:ascii="Calibri" w:eastAsia="Calibri" w:hAnsi="Calibri" w:cs="Calibri"/>
          <w:bCs/>
          <w:color w:val="000000"/>
          <w:kern w:val="0"/>
          <w:lang w:eastAsia="en-US"/>
        </w:rPr>
        <w:t>Fédasil</w:t>
      </w:r>
      <w:proofErr w:type="spellEnd"/>
      <w:r w:rsidRPr="006D1E03">
        <w:rPr>
          <w:rFonts w:ascii="Calibri" w:eastAsia="Calibri" w:hAnsi="Calibri" w:cs="Calibri"/>
          <w:bCs/>
          <w:color w:val="000000"/>
          <w:kern w:val="0"/>
          <w:lang w:eastAsia="en-US"/>
        </w:rPr>
        <w:t xml:space="preserve"> cite de la jurisprudence, et affirme que l’accueil est le même, dans les deux situations.</w:t>
      </w:r>
    </w:p>
    <w:p w14:paraId="2BB01BDF"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Pourtant, comme décrit dans l’ordonnance dont recours, il ressort des documents produits habituellement pa</w:t>
      </w:r>
      <w:r w:rsidR="00C253D0">
        <w:rPr>
          <w:rFonts w:ascii="Calibri" w:eastAsia="Calibri" w:hAnsi="Calibri" w:cs="Calibri"/>
          <w:bCs/>
          <w:color w:val="000000"/>
          <w:kern w:val="0"/>
          <w:lang w:eastAsia="en-US"/>
        </w:rPr>
        <w:t xml:space="preserve">r </w:t>
      </w:r>
      <w:proofErr w:type="spellStart"/>
      <w:r w:rsidR="00C253D0">
        <w:rPr>
          <w:rFonts w:ascii="Calibri" w:eastAsia="Calibri" w:hAnsi="Calibri" w:cs="Calibri"/>
          <w:bCs/>
          <w:color w:val="000000"/>
          <w:kern w:val="0"/>
          <w:lang w:eastAsia="en-US"/>
        </w:rPr>
        <w:t>Fédasil</w:t>
      </w:r>
      <w:proofErr w:type="spellEnd"/>
      <w:r w:rsidR="00C253D0">
        <w:rPr>
          <w:rFonts w:ascii="Calibri" w:eastAsia="Calibri" w:hAnsi="Calibri" w:cs="Calibri"/>
          <w:bCs/>
          <w:color w:val="000000"/>
          <w:kern w:val="0"/>
          <w:lang w:eastAsia="en-US"/>
        </w:rPr>
        <w:t xml:space="preserve"> que le suivi social (</w:t>
      </w:r>
      <w:r w:rsidRPr="006D1E03">
        <w:rPr>
          <w:rFonts w:ascii="Calibri" w:eastAsia="Calibri" w:hAnsi="Calibri" w:cs="Calibri"/>
          <w:bCs/>
          <w:color w:val="000000"/>
          <w:kern w:val="0"/>
          <w:lang w:eastAsia="en-US"/>
        </w:rPr>
        <w:t>pour ne prendre que ce seul élément, mais qui n’est peut-être pas isolé</w:t>
      </w:r>
      <w:r w:rsidRPr="006D1E03">
        <w:rPr>
          <w:rFonts w:ascii="Calibri" w:eastAsia="Calibri" w:hAnsi="Calibri" w:cs="Calibri"/>
          <w:bCs/>
          <w:color w:val="000000"/>
          <w:kern w:val="0"/>
          <w:vertAlign w:val="superscript"/>
          <w:lang w:eastAsia="en-US"/>
        </w:rPr>
        <w:footnoteReference w:id="7"/>
      </w:r>
      <w:r w:rsidRPr="006D1E03">
        <w:rPr>
          <w:rFonts w:ascii="Calibri" w:eastAsia="Calibri" w:hAnsi="Calibri" w:cs="Calibri"/>
          <w:bCs/>
          <w:color w:val="000000"/>
          <w:kern w:val="0"/>
          <w:lang w:eastAsia="en-US"/>
        </w:rPr>
        <w:t xml:space="preserve">) en place Dublin n’est pas de même nature qu’au centre d’accueil où réside actuellement le demandeur originaire. </w:t>
      </w:r>
    </w:p>
    <w:p w14:paraId="1E29FCB3"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Pour rappel</w:t>
      </w:r>
      <w:r w:rsidRPr="006D1E03">
        <w:rPr>
          <w:rFonts w:ascii="Calibri" w:eastAsia="Calibri" w:hAnsi="Calibri" w:cs="Calibri"/>
          <w:bCs/>
          <w:color w:val="000000"/>
          <w:kern w:val="0"/>
          <w:vertAlign w:val="superscript"/>
          <w:lang w:eastAsia="en-US"/>
        </w:rPr>
        <w:footnoteReference w:id="8"/>
      </w:r>
      <w:r w:rsidRPr="006D1E03">
        <w:rPr>
          <w:rFonts w:ascii="Calibri" w:eastAsia="Calibri" w:hAnsi="Calibri" w:cs="Calibri"/>
          <w:bCs/>
          <w:color w:val="000000"/>
          <w:kern w:val="0"/>
          <w:lang w:eastAsia="en-US"/>
        </w:rPr>
        <w:t> :</w:t>
      </w:r>
    </w:p>
    <w:p w14:paraId="4BD02BD4"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i/>
          <w:kern w:val="0"/>
          <w:lang w:eastAsia="en-US"/>
        </w:rPr>
      </w:pPr>
      <w:r w:rsidRPr="006D1E03">
        <w:rPr>
          <w:rFonts w:ascii="Calibri" w:eastAsia="Calibri" w:hAnsi="Calibri" w:cs="Calibri"/>
          <w:i/>
          <w:kern w:val="0"/>
          <w:lang w:eastAsia="en-US"/>
        </w:rPr>
        <w:t xml:space="preserve">« Cependant, dans plusieurs dossiers « au fond » plaidés contradictoirement vis-à-vis de </w:t>
      </w:r>
      <w:proofErr w:type="spellStart"/>
      <w:r w:rsidRPr="006D1E03">
        <w:rPr>
          <w:rFonts w:ascii="Calibri" w:eastAsia="Calibri" w:hAnsi="Calibri" w:cs="Calibri"/>
          <w:i/>
          <w:kern w:val="0"/>
          <w:lang w:eastAsia="en-US"/>
        </w:rPr>
        <w:t>Fédasil</w:t>
      </w:r>
      <w:proofErr w:type="spellEnd"/>
      <w:r w:rsidRPr="006D1E03">
        <w:rPr>
          <w:rFonts w:ascii="Calibri" w:eastAsia="Calibri" w:hAnsi="Calibri" w:cs="Calibri"/>
          <w:i/>
          <w:kern w:val="0"/>
          <w:lang w:eastAsia="en-US"/>
        </w:rPr>
        <w:t xml:space="preserve">, le Tribunal a été saisi, dans les dossiers de pièces déposés par les parties, d’un « nouveau » « guide pratique » visant la prise en charge des demandeurs de protection internationale, en place Dublin, à destination des travailleurs sociaux de </w:t>
      </w:r>
      <w:proofErr w:type="spellStart"/>
      <w:r w:rsidRPr="006D1E03">
        <w:rPr>
          <w:rFonts w:ascii="Calibri" w:eastAsia="Calibri" w:hAnsi="Calibri" w:cs="Calibri"/>
          <w:i/>
          <w:kern w:val="0"/>
          <w:lang w:eastAsia="en-US"/>
        </w:rPr>
        <w:t>Fédasil</w:t>
      </w:r>
      <w:proofErr w:type="spellEnd"/>
      <w:r w:rsidRPr="006D1E03">
        <w:rPr>
          <w:rFonts w:ascii="Calibri" w:eastAsia="Calibri" w:hAnsi="Calibri" w:cs="Calibri"/>
          <w:i/>
          <w:kern w:val="0"/>
          <w:lang w:eastAsia="en-US"/>
        </w:rPr>
        <w:t>.</w:t>
      </w:r>
    </w:p>
    <w:p w14:paraId="0C2E44D4"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i/>
          <w:kern w:val="0"/>
          <w:lang w:eastAsia="en-US"/>
        </w:rPr>
      </w:pPr>
    </w:p>
    <w:p w14:paraId="66132033"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i/>
          <w:kern w:val="0"/>
          <w:lang w:eastAsia="en-US"/>
        </w:rPr>
      </w:pPr>
      <w:r w:rsidRPr="006D1E03">
        <w:rPr>
          <w:rFonts w:ascii="Calibri" w:eastAsia="Calibri" w:hAnsi="Calibri" w:cs="Calibri"/>
          <w:i/>
          <w:kern w:val="0"/>
          <w:lang w:eastAsia="en-US"/>
        </w:rPr>
        <w:lastRenderedPageBreak/>
        <w:t>On peut ainsi y lire que la spécificité de l’accueil DUBLIN ne se limite pas à la procédure des trois rendez-vous, mais aussi</w:t>
      </w:r>
      <w:r w:rsidRPr="006D1E03">
        <w:rPr>
          <w:rFonts w:ascii="Calibri" w:eastAsia="Calibri" w:hAnsi="Calibri" w:cs="Calibri"/>
          <w:i/>
          <w:kern w:val="0"/>
          <w:vertAlign w:val="superscript"/>
          <w:lang w:val="en-GB" w:eastAsia="en-US"/>
        </w:rPr>
        <w:footnoteReference w:id="9"/>
      </w:r>
      <w:r w:rsidRPr="006D1E03">
        <w:rPr>
          <w:rFonts w:ascii="Calibri" w:eastAsia="Calibri" w:hAnsi="Calibri" w:cs="Calibri"/>
          <w:i/>
          <w:kern w:val="0"/>
          <w:lang w:eastAsia="en-US"/>
        </w:rPr>
        <w:t> :</w:t>
      </w:r>
    </w:p>
    <w:p w14:paraId="06C744A9"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i/>
          <w:kern w:val="0"/>
          <w:lang w:eastAsia="en-US"/>
        </w:rPr>
      </w:pPr>
      <w:r w:rsidRPr="006D1E03">
        <w:rPr>
          <w:rFonts w:ascii="Calibri" w:eastAsia="Calibri" w:hAnsi="Calibri" w:cs="Calibri"/>
          <w:i/>
          <w:kern w:val="0"/>
          <w:lang w:eastAsia="en-US"/>
        </w:rPr>
        <w:t>« … Le caractère transitoire du séjour entraîne l’adaptation de l’accompagnement à une sor</w:t>
      </w:r>
      <w:r w:rsidR="00697CA5">
        <w:rPr>
          <w:rFonts w:ascii="Calibri" w:eastAsia="Calibri" w:hAnsi="Calibri" w:cs="Calibri"/>
          <w:i/>
          <w:kern w:val="0"/>
          <w:lang w:eastAsia="en-US"/>
        </w:rPr>
        <w:t>te d’assistance fonctionnelle (</w:t>
      </w:r>
      <w:r w:rsidRPr="006D1E03">
        <w:rPr>
          <w:rFonts w:ascii="Calibri" w:eastAsia="Calibri" w:hAnsi="Calibri" w:cs="Calibri"/>
          <w:i/>
          <w:kern w:val="0"/>
          <w:lang w:eastAsia="en-US"/>
        </w:rPr>
        <w:t xml:space="preserve">l’essentiel n’est pas, par exemple, d’inscrire les enfants à l’école mais de préparer le transfert au plus vite pour qu’ils y soient inscrits dans l’Etat membre compétant »  </w:t>
      </w:r>
    </w:p>
    <w:p w14:paraId="25A1ABBD"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i/>
          <w:kern w:val="0"/>
          <w:lang w:eastAsia="en-US"/>
        </w:rPr>
      </w:pPr>
      <w:r w:rsidRPr="006D1E03">
        <w:rPr>
          <w:rFonts w:ascii="Calibri" w:eastAsia="Calibri" w:hAnsi="Calibri" w:cs="Calibri"/>
          <w:i/>
          <w:kern w:val="0"/>
          <w:lang w:eastAsia="en-US"/>
        </w:rPr>
        <w:t>« ….les buts principaux de l’accompagnement sont la collaboration à l’organisation du transfert, le suivi en cas d’introduction d’un recours, le suivi des vulnérabilités spécifiques. »</w:t>
      </w:r>
    </w:p>
    <w:p w14:paraId="464628CF"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i/>
          <w:kern w:val="0"/>
          <w:lang w:eastAsia="en-US"/>
        </w:rPr>
      </w:pPr>
      <w:r w:rsidRPr="006D1E03">
        <w:rPr>
          <w:rFonts w:ascii="Calibri" w:eastAsia="Calibri" w:hAnsi="Calibri" w:cs="Calibri"/>
          <w:i/>
          <w:kern w:val="0"/>
          <w:lang w:eastAsia="en-US"/>
        </w:rPr>
        <w:t>« … Le caractère particulier d</w:t>
      </w:r>
      <w:r w:rsidR="005A0D0F">
        <w:rPr>
          <w:rFonts w:ascii="Calibri" w:eastAsia="Calibri" w:hAnsi="Calibri" w:cs="Calibri"/>
          <w:i/>
          <w:kern w:val="0"/>
          <w:lang w:eastAsia="en-US"/>
        </w:rPr>
        <w:t>es places DUBL</w:t>
      </w:r>
      <w:r w:rsidRPr="006D1E03">
        <w:rPr>
          <w:rFonts w:ascii="Calibri" w:eastAsia="Calibri" w:hAnsi="Calibri" w:cs="Calibri"/>
          <w:i/>
          <w:kern w:val="0"/>
          <w:lang w:eastAsia="en-US"/>
        </w:rPr>
        <w:t>IN implique également l’utilisation d’un certain st</w:t>
      </w:r>
      <w:r w:rsidR="005A0D0F">
        <w:rPr>
          <w:rFonts w:ascii="Calibri" w:eastAsia="Calibri" w:hAnsi="Calibri" w:cs="Calibri"/>
          <w:i/>
          <w:kern w:val="0"/>
          <w:lang w:eastAsia="en-US"/>
        </w:rPr>
        <w:t>yle de communication, en l’espèc</w:t>
      </w:r>
      <w:r w:rsidRPr="006D1E03">
        <w:rPr>
          <w:rFonts w:ascii="Calibri" w:eastAsia="Calibri" w:hAnsi="Calibri" w:cs="Calibri"/>
          <w:i/>
          <w:kern w:val="0"/>
          <w:lang w:eastAsia="en-US"/>
        </w:rPr>
        <w:t xml:space="preserve">e plutôt directif… » </w:t>
      </w:r>
    </w:p>
    <w:p w14:paraId="0C985B0E"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i/>
          <w:kern w:val="0"/>
          <w:lang w:eastAsia="en-US"/>
        </w:rPr>
      </w:pPr>
      <w:r w:rsidRPr="006D1E03">
        <w:rPr>
          <w:rFonts w:ascii="Calibri" w:eastAsia="Calibri" w:hAnsi="Calibri" w:cs="Calibri"/>
          <w:i/>
          <w:kern w:val="0"/>
          <w:lang w:eastAsia="en-US"/>
        </w:rPr>
        <w:t>« Enfin, l’accompagnement se caractérise par le rôle que joue le résident. Une grande collaboration est attendue de sa part pour que le transfert vers l’Etat membre responsable puisse s’organiser dans les meilleurs conditions… »</w:t>
      </w:r>
    </w:p>
    <w:p w14:paraId="4BE9D0FF"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Il existe donc bien une différence dans le s</w:t>
      </w:r>
      <w:r w:rsidR="005A0D0F">
        <w:rPr>
          <w:rFonts w:ascii="Calibri" w:eastAsia="Calibri" w:hAnsi="Calibri" w:cs="Calibri"/>
          <w:bCs/>
          <w:color w:val="000000"/>
          <w:kern w:val="0"/>
          <w:lang w:eastAsia="en-US"/>
        </w:rPr>
        <w:t>uivi social en centre d’accueil</w:t>
      </w:r>
      <w:r w:rsidRPr="006D1E03">
        <w:rPr>
          <w:rFonts w:ascii="Calibri" w:eastAsia="Calibri" w:hAnsi="Calibri" w:cs="Calibri"/>
          <w:bCs/>
          <w:color w:val="000000"/>
          <w:kern w:val="0"/>
          <w:lang w:eastAsia="en-US"/>
        </w:rPr>
        <w:t>, et le suivi social en centre d’accueil en place Dublin.</w:t>
      </w:r>
    </w:p>
    <w:p w14:paraId="6403A738"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 xml:space="preserve">Le Tribunal constate pourtant que les articles 31 et 32 de la loi accueil ne font pas état d’une possibilité de différencier le suivi social, alors qu’en l’absence de l’intervention du Roi dans le cadre de l’article 54 de la même loi, le Tribunal est toujours dans l’attente d’une explication de </w:t>
      </w:r>
      <w:proofErr w:type="spellStart"/>
      <w:r w:rsidRPr="006D1E03">
        <w:rPr>
          <w:rFonts w:ascii="Calibri" w:eastAsia="Calibri" w:hAnsi="Calibri" w:cs="Calibri"/>
          <w:bCs/>
          <w:color w:val="000000"/>
          <w:kern w:val="0"/>
          <w:lang w:eastAsia="en-US"/>
        </w:rPr>
        <w:t>Fédasil</w:t>
      </w:r>
      <w:proofErr w:type="spellEnd"/>
      <w:r w:rsidRPr="006D1E03">
        <w:rPr>
          <w:rFonts w:ascii="Calibri" w:eastAsia="Calibri" w:hAnsi="Calibri" w:cs="Calibri"/>
          <w:bCs/>
          <w:color w:val="000000"/>
          <w:kern w:val="0"/>
          <w:lang w:eastAsia="en-US"/>
        </w:rPr>
        <w:t xml:space="preserve"> sur la base légale qui lui permet de différencier le suivi social dans une place Dublin. </w:t>
      </w:r>
    </w:p>
    <w:p w14:paraId="7B32EE59"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Cs/>
          <w:color w:val="000000"/>
          <w:kern w:val="0"/>
          <w:lang w:eastAsia="en-US"/>
        </w:rPr>
      </w:pPr>
      <w:r w:rsidRPr="006D1E03">
        <w:rPr>
          <w:rFonts w:ascii="Calibri" w:eastAsia="Calibri" w:hAnsi="Calibri" w:cs="Calibri"/>
          <w:bCs/>
          <w:color w:val="000000"/>
          <w:kern w:val="0"/>
          <w:lang w:eastAsia="en-US"/>
        </w:rPr>
        <w:t>Comme relevé dans l’ordonnance dont recours, en application de l’A.M. du 19.12.2013 (modifié par arrêté ministériel du</w:t>
      </w:r>
      <w:r w:rsidR="005A0D0F">
        <w:rPr>
          <w:rFonts w:ascii="Calibri" w:eastAsia="Calibri" w:hAnsi="Calibri" w:cs="Calibri"/>
          <w:bCs/>
          <w:color w:val="000000"/>
          <w:kern w:val="0"/>
          <w:lang w:eastAsia="en-US"/>
        </w:rPr>
        <w:t xml:space="preserve"> 17.04.2002)</w:t>
      </w:r>
      <w:r w:rsidRPr="006D1E03">
        <w:rPr>
          <w:rFonts w:ascii="Calibri" w:eastAsia="Calibri" w:hAnsi="Calibri" w:cs="Calibri"/>
          <w:bCs/>
          <w:color w:val="000000"/>
          <w:kern w:val="0"/>
          <w:lang w:eastAsia="en-US"/>
        </w:rPr>
        <w:t xml:space="preserve">, </w:t>
      </w:r>
      <w:r w:rsidRPr="006D1E03">
        <w:rPr>
          <w:rFonts w:ascii="Calibri" w:eastAsia="Calibri" w:hAnsi="Calibri" w:cs="Calibri"/>
          <w:bCs/>
          <w:color w:val="000000"/>
          <w:kern w:val="0"/>
          <w:u w:val="single"/>
          <w:lang w:eastAsia="en-US"/>
        </w:rPr>
        <w:t>l’accueil</w:t>
      </w:r>
      <w:r w:rsidRPr="006D1E03">
        <w:rPr>
          <w:rFonts w:ascii="Calibri" w:eastAsia="Calibri" w:hAnsi="Calibri" w:cs="Calibri"/>
          <w:bCs/>
          <w:color w:val="000000"/>
          <w:kern w:val="0"/>
          <w:lang w:eastAsia="en-US"/>
        </w:rPr>
        <w:t xml:space="preserve"> proposé par </w:t>
      </w:r>
      <w:proofErr w:type="spellStart"/>
      <w:r w:rsidRPr="006D1E03">
        <w:rPr>
          <w:rFonts w:ascii="Calibri" w:eastAsia="Calibri" w:hAnsi="Calibri" w:cs="Calibri"/>
          <w:bCs/>
          <w:color w:val="000000"/>
          <w:kern w:val="0"/>
          <w:lang w:eastAsia="en-US"/>
        </w:rPr>
        <w:t>Fédasil</w:t>
      </w:r>
      <w:proofErr w:type="spellEnd"/>
      <w:r w:rsidRPr="006D1E03">
        <w:rPr>
          <w:rFonts w:ascii="Calibri" w:eastAsia="Calibri" w:hAnsi="Calibri" w:cs="Calibri"/>
          <w:bCs/>
          <w:color w:val="000000"/>
          <w:kern w:val="0"/>
          <w:lang w:eastAsia="en-US"/>
        </w:rPr>
        <w:t xml:space="preserve"> doit être neutre. </w:t>
      </w:r>
    </w:p>
    <w:p w14:paraId="6BEED8D2"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 xml:space="preserve">Le Tribunal en tire pour conclusion que le suivi social « modalisé » par </w:t>
      </w:r>
      <w:proofErr w:type="spellStart"/>
      <w:r w:rsidRPr="006D1E03">
        <w:rPr>
          <w:rFonts w:ascii="Calibri" w:eastAsia="Calibri" w:hAnsi="Calibri" w:cs="Calibri"/>
          <w:kern w:val="0"/>
          <w:lang w:eastAsia="en-US"/>
        </w:rPr>
        <w:t>Fédasil</w:t>
      </w:r>
      <w:proofErr w:type="spellEnd"/>
      <w:r w:rsidRPr="006D1E03">
        <w:rPr>
          <w:rFonts w:ascii="Calibri" w:eastAsia="Calibri" w:hAnsi="Calibri" w:cs="Calibri"/>
          <w:kern w:val="0"/>
          <w:lang w:eastAsia="en-US"/>
        </w:rPr>
        <w:t xml:space="preserve"> en place Dublin semble orienté vers l’efficacité du transfert, ce qui n’est pas conforme à l’obligation de neutralité de l’accueil repris dans les arrêtés ministériels précités.</w:t>
      </w:r>
    </w:p>
    <w:p w14:paraId="4500E04F"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Comme souligné dans l’ordonnance dont recours, le malaise est renforcé par la lecture du « considérant n°29 » d’une ordonn</w:t>
      </w:r>
      <w:r w:rsidR="005A0D0F">
        <w:rPr>
          <w:rFonts w:ascii="Calibri" w:eastAsia="Calibri" w:hAnsi="Calibri" w:cs="Calibri"/>
          <w:kern w:val="0"/>
          <w:lang w:eastAsia="en-US"/>
        </w:rPr>
        <w:t>ance de la CJUE du 16.12.2021 (</w:t>
      </w:r>
      <w:r w:rsidRPr="006D1E03">
        <w:rPr>
          <w:rFonts w:ascii="Calibri" w:eastAsia="Calibri" w:hAnsi="Calibri" w:cs="Calibri"/>
          <w:kern w:val="0"/>
          <w:lang w:eastAsia="en-US"/>
        </w:rPr>
        <w:t xml:space="preserve">RG C 505-2021), où la haute Cour affirme clairement que </w:t>
      </w:r>
      <w:proofErr w:type="spellStart"/>
      <w:r w:rsidRPr="006D1E03">
        <w:rPr>
          <w:rFonts w:ascii="Calibri" w:eastAsia="Calibri" w:hAnsi="Calibri" w:cs="Calibri"/>
          <w:kern w:val="0"/>
          <w:lang w:eastAsia="en-US"/>
        </w:rPr>
        <w:t>Fédasil</w:t>
      </w:r>
      <w:proofErr w:type="spellEnd"/>
      <w:r w:rsidRPr="006D1E03">
        <w:rPr>
          <w:rFonts w:ascii="Calibri" w:eastAsia="Calibri" w:hAnsi="Calibri" w:cs="Calibri"/>
          <w:kern w:val="0"/>
          <w:lang w:eastAsia="en-US"/>
        </w:rPr>
        <w:t xml:space="preserve"> ne conteste pas l’exercice d’une certaine pression sur les demandeurs de protection internationale en place « Dublin ».</w:t>
      </w:r>
    </w:p>
    <w:p w14:paraId="4DA9FF74"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 xml:space="preserve">Si </w:t>
      </w:r>
      <w:proofErr w:type="spellStart"/>
      <w:r w:rsidRPr="006D1E03">
        <w:rPr>
          <w:rFonts w:ascii="Calibri" w:eastAsia="Calibri" w:hAnsi="Calibri" w:cs="Calibri"/>
          <w:kern w:val="0"/>
          <w:lang w:eastAsia="en-US"/>
        </w:rPr>
        <w:t>Fédasil</w:t>
      </w:r>
      <w:proofErr w:type="spellEnd"/>
      <w:r w:rsidRPr="006D1E03">
        <w:rPr>
          <w:rFonts w:ascii="Calibri" w:eastAsia="Calibri" w:hAnsi="Calibri" w:cs="Calibri"/>
          <w:kern w:val="0"/>
          <w:lang w:eastAsia="en-US"/>
        </w:rPr>
        <w:t xml:space="preserve"> conteste habituellement avoir été présent à l’audience de la CJUE ayant débouché sur l’ordonnance du 16.12.2021, il semble raisonnable aux yeux du Tribunal de considérer que cette affirmation de la Cour </w:t>
      </w:r>
      <w:r w:rsidR="00D00DED">
        <w:rPr>
          <w:rFonts w:ascii="Calibri" w:eastAsia="Calibri" w:hAnsi="Calibri" w:cs="Calibri"/>
          <w:kern w:val="0"/>
          <w:lang w:eastAsia="en-US"/>
        </w:rPr>
        <w:t>repose sur une base objective (</w:t>
      </w:r>
      <w:r w:rsidRPr="006D1E03">
        <w:rPr>
          <w:rFonts w:ascii="Calibri" w:eastAsia="Calibri" w:hAnsi="Calibri" w:cs="Calibri"/>
          <w:kern w:val="0"/>
          <w:lang w:eastAsia="en-US"/>
        </w:rPr>
        <w:t>ex. des éléments disponibles dans le dossier de pièces à disposition des juges européens).</w:t>
      </w:r>
    </w:p>
    <w:p w14:paraId="0DB9ED4B"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 xml:space="preserve">Cette reconnaissance « d’une certaine pression » sur le demandeur de protection internationale n’est d’ailleurs pas surprenante puisque </w:t>
      </w:r>
      <w:proofErr w:type="spellStart"/>
      <w:r w:rsidRPr="006D1E03">
        <w:rPr>
          <w:rFonts w:ascii="Calibri" w:eastAsia="Calibri" w:hAnsi="Calibri" w:cs="Calibri"/>
          <w:kern w:val="0"/>
          <w:lang w:eastAsia="en-US"/>
        </w:rPr>
        <w:t>Fédasil</w:t>
      </w:r>
      <w:proofErr w:type="spellEnd"/>
      <w:r w:rsidRPr="006D1E03">
        <w:rPr>
          <w:rFonts w:ascii="Calibri" w:eastAsia="Calibri" w:hAnsi="Calibri" w:cs="Calibri"/>
          <w:kern w:val="0"/>
          <w:lang w:eastAsia="en-US"/>
        </w:rPr>
        <w:t xml:space="preserve"> préconise, en place Dublin, une communication d’un style plutôt directif avec la personne hébergée, alors qu’une grande collaboration est attendue pour que le transfert puisse se réaliser.</w:t>
      </w:r>
    </w:p>
    <w:p w14:paraId="30D11C28"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 xml:space="preserve">Sur cette base également, la tierce opposition est déclarée non fondée, puisque l’application de la décision de </w:t>
      </w:r>
      <w:proofErr w:type="spellStart"/>
      <w:r w:rsidRPr="006D1E03">
        <w:rPr>
          <w:rFonts w:ascii="Calibri" w:eastAsia="Calibri" w:hAnsi="Calibri" w:cs="Calibri"/>
          <w:kern w:val="0"/>
          <w:lang w:eastAsia="en-US"/>
        </w:rPr>
        <w:t>Fédasil</w:t>
      </w:r>
      <w:proofErr w:type="spellEnd"/>
      <w:r w:rsidRPr="006D1E03">
        <w:rPr>
          <w:rFonts w:ascii="Calibri" w:eastAsia="Calibri" w:hAnsi="Calibri" w:cs="Calibri"/>
          <w:kern w:val="0"/>
          <w:lang w:eastAsia="en-US"/>
        </w:rPr>
        <w:t xml:space="preserve"> du 31.05.2022 aurait pour conséquence l’application d’un suivi social limité à </w:t>
      </w:r>
      <w:r w:rsidRPr="006D1E03">
        <w:rPr>
          <w:rFonts w:ascii="Calibri" w:eastAsia="Calibri" w:hAnsi="Calibri" w:cs="Calibri"/>
          <w:kern w:val="0"/>
          <w:lang w:eastAsia="en-US"/>
        </w:rPr>
        <w:lastRenderedPageBreak/>
        <w:t xml:space="preserve">une espèce d’assistance fonctionnelle, orientée vers l’efficacité du transfert, via une mode de </w:t>
      </w:r>
      <w:r w:rsidR="00D00DED">
        <w:rPr>
          <w:rFonts w:ascii="Calibri" w:eastAsia="Calibri" w:hAnsi="Calibri" w:cs="Calibri"/>
          <w:kern w:val="0"/>
          <w:lang w:eastAsia="en-US"/>
        </w:rPr>
        <w:t>communication plutôt directif (</w:t>
      </w:r>
      <w:r w:rsidRPr="006D1E03">
        <w:rPr>
          <w:rFonts w:ascii="Calibri" w:eastAsia="Calibri" w:hAnsi="Calibri" w:cs="Calibri"/>
          <w:kern w:val="0"/>
          <w:lang w:eastAsia="en-US"/>
        </w:rPr>
        <w:t>et ce, sans que les articles 31 et 32 de la loi accueil ne visent la possibilité d’un suivi social «  limité » et/ou « orienté », où que le Roi, via l’application de l’article 54 de la même loi, n’ait modalisé ce suivi social).</w:t>
      </w:r>
    </w:p>
    <w:p w14:paraId="6131F010"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b/>
          <w:kern w:val="0"/>
          <w:u w:val="single"/>
          <w:lang w:eastAsia="en-US"/>
        </w:rPr>
      </w:pPr>
      <w:r w:rsidRPr="006D1E03">
        <w:rPr>
          <w:rFonts w:ascii="Calibri" w:eastAsia="Calibri" w:hAnsi="Calibri" w:cs="Calibri"/>
          <w:b/>
          <w:kern w:val="0"/>
          <w:u w:val="single"/>
          <w:lang w:eastAsia="en-US"/>
        </w:rPr>
        <w:t>Le recours effectif :</w:t>
      </w:r>
    </w:p>
    <w:p w14:paraId="53D3853B"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 xml:space="preserve">A titre superfétatoire du point de vue de Tribunal, </w:t>
      </w:r>
      <w:proofErr w:type="spellStart"/>
      <w:r w:rsidRPr="006D1E03">
        <w:rPr>
          <w:rFonts w:ascii="Calibri" w:eastAsia="Calibri" w:hAnsi="Calibri" w:cs="Calibri"/>
          <w:kern w:val="0"/>
          <w:lang w:eastAsia="en-US"/>
        </w:rPr>
        <w:t>Fédasil</w:t>
      </w:r>
      <w:proofErr w:type="spellEnd"/>
      <w:r w:rsidRPr="006D1E03">
        <w:rPr>
          <w:rFonts w:ascii="Calibri" w:eastAsia="Calibri" w:hAnsi="Calibri" w:cs="Calibri"/>
          <w:kern w:val="0"/>
          <w:lang w:eastAsia="en-US"/>
        </w:rPr>
        <w:t xml:space="preserve"> argumente dans le cadre de la problématique du recours effectif accessible au demandeur de protection inte</w:t>
      </w:r>
      <w:r w:rsidR="005C4924">
        <w:rPr>
          <w:rFonts w:ascii="Calibri" w:eastAsia="Calibri" w:hAnsi="Calibri" w:cs="Calibri"/>
          <w:kern w:val="0"/>
          <w:lang w:eastAsia="en-US"/>
        </w:rPr>
        <w:t>rnationale, et se retranche derr</w:t>
      </w:r>
      <w:r w:rsidRPr="006D1E03">
        <w:rPr>
          <w:rFonts w:ascii="Calibri" w:eastAsia="Calibri" w:hAnsi="Calibri" w:cs="Calibri"/>
          <w:kern w:val="0"/>
          <w:lang w:eastAsia="en-US"/>
        </w:rPr>
        <w:t>ière une certaine interprétation d’une ordonnance prononcée en date du 26.03.2021 par le CJUE, sur base d’une question préjudicielle posée par les juridictions sociales Liégeoises.</w:t>
      </w:r>
    </w:p>
    <w:p w14:paraId="74AB0617"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Par rapport à l’objet des débats dans le présent dossier, un point essentiel attire particulièrement l’attention du Tribunal :</w:t>
      </w:r>
    </w:p>
    <w:p w14:paraId="6015A281"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La formulation du considérant n°40 suggère clairement que la Cour de Luxembourg part du constat que le recours en annulation accessible contre l’annexe 26 quater, est un recours effectif et efficace</w:t>
      </w:r>
      <w:r w:rsidRPr="006D1E03">
        <w:rPr>
          <w:rFonts w:ascii="Calibri" w:eastAsia="Calibri" w:hAnsi="Calibri" w:cs="Calibri"/>
          <w:kern w:val="0"/>
          <w:vertAlign w:val="superscript"/>
          <w:lang w:val="en-GB" w:eastAsia="en-US"/>
        </w:rPr>
        <w:footnoteReference w:id="10"/>
      </w:r>
      <w:r w:rsidRPr="006D1E03">
        <w:rPr>
          <w:rFonts w:ascii="Calibri" w:eastAsia="Calibri" w:hAnsi="Calibri" w:cs="Calibri"/>
          <w:kern w:val="0"/>
          <w:lang w:eastAsia="en-US"/>
        </w:rPr>
        <w:t> :</w:t>
      </w:r>
    </w:p>
    <w:p w14:paraId="39081C56" w14:textId="77777777" w:rsidR="006D1E03" w:rsidRPr="006D1E03" w:rsidRDefault="006D1E03" w:rsidP="006D1E03">
      <w:pPr>
        <w:widowControl/>
        <w:suppressAutoHyphens w:val="0"/>
        <w:autoSpaceDE w:val="0"/>
        <w:adjustRightInd w:val="0"/>
        <w:jc w:val="both"/>
        <w:textAlignment w:val="auto"/>
        <w:rPr>
          <w:rFonts w:ascii="Calibri" w:eastAsia="Calibri" w:hAnsi="Calibri" w:cs="Calibri"/>
          <w:kern w:val="0"/>
          <w:lang w:eastAsia="en-US"/>
        </w:rPr>
      </w:pPr>
      <w:r w:rsidRPr="006D1E03">
        <w:rPr>
          <w:rFonts w:ascii="Calibri" w:eastAsia="Calibri" w:hAnsi="Calibri" w:cs="Calibri"/>
          <w:i/>
          <w:color w:val="000000"/>
          <w:kern w:val="0"/>
          <w:lang w:eastAsia="en-US"/>
        </w:rPr>
        <w:t xml:space="preserve">« Ainsi, l’adoption de mesures préparatoires au transfert apparaît être en cohérence avec les dispositions de l’article 29 du règlement Dublin III, </w:t>
      </w:r>
      <w:r w:rsidRPr="006D1E03">
        <w:rPr>
          <w:rFonts w:ascii="Calibri" w:eastAsia="Calibri" w:hAnsi="Calibri" w:cs="Calibri"/>
          <w:i/>
          <w:color w:val="000000"/>
          <w:kern w:val="0"/>
          <w:u w:val="single"/>
          <w:lang w:eastAsia="en-US"/>
        </w:rPr>
        <w:t>en ce que lesdites mesures ont pour objet de préparer le transfert du demandeur dans les meilleurs délais en cas de rejet de son recours contre la décision de transfert. »</w:t>
      </w:r>
      <w:r w:rsidRPr="006D1E03">
        <w:rPr>
          <w:rFonts w:ascii="Calibri" w:eastAsia="Calibri" w:hAnsi="Calibri" w:cs="Calibri"/>
          <w:i/>
          <w:color w:val="000000"/>
          <w:kern w:val="0"/>
          <w:u w:val="single"/>
          <w:vertAlign w:val="superscript"/>
          <w:lang w:val="en-GB" w:eastAsia="en-US"/>
        </w:rPr>
        <w:footnoteReference w:id="11"/>
      </w:r>
      <w:r w:rsidRPr="006D1E03">
        <w:rPr>
          <w:rFonts w:ascii="Calibri" w:eastAsia="Calibri" w:hAnsi="Calibri" w:cs="Calibri"/>
          <w:kern w:val="0"/>
          <w:lang w:eastAsia="en-US"/>
        </w:rPr>
        <w:t xml:space="preserve"> </w:t>
      </w:r>
    </w:p>
    <w:p w14:paraId="0733D12F" w14:textId="77777777" w:rsidR="006D1E03" w:rsidRPr="006D1E03" w:rsidRDefault="006D1E03" w:rsidP="006D1E03">
      <w:pPr>
        <w:widowControl/>
        <w:suppressAutoHyphens w:val="0"/>
        <w:autoSpaceDE w:val="0"/>
        <w:adjustRightInd w:val="0"/>
        <w:jc w:val="both"/>
        <w:textAlignment w:val="auto"/>
        <w:rPr>
          <w:rFonts w:ascii="Calibri" w:eastAsia="Calibri" w:hAnsi="Calibri" w:cs="Calibri"/>
          <w:kern w:val="0"/>
          <w:lang w:eastAsia="en-US"/>
        </w:rPr>
      </w:pPr>
    </w:p>
    <w:p w14:paraId="69ECA58E" w14:textId="77777777" w:rsidR="006D1E03" w:rsidRPr="006D1E03" w:rsidRDefault="006D1E03" w:rsidP="006D1E03">
      <w:pPr>
        <w:widowControl/>
        <w:suppressAutoHyphens w:val="0"/>
        <w:autoSpaceDE w:val="0"/>
        <w:adjustRightInd w:val="0"/>
        <w:jc w:val="both"/>
        <w:textAlignment w:val="auto"/>
        <w:rPr>
          <w:rFonts w:ascii="Calibri" w:eastAsia="Calibri" w:hAnsi="Calibri" w:cs="Calibri"/>
          <w:kern w:val="0"/>
          <w:lang w:eastAsia="en-US"/>
        </w:rPr>
      </w:pPr>
      <w:r w:rsidRPr="006D1E03">
        <w:rPr>
          <w:rFonts w:ascii="Calibri" w:eastAsia="Calibri" w:hAnsi="Calibri" w:cs="Calibri"/>
          <w:kern w:val="0"/>
          <w:lang w:eastAsia="en-US"/>
        </w:rPr>
        <w:t xml:space="preserve">C’est un point important : c’est parce que le recours risque éventuellement d’être rejeté que des mesures préparatoires au transfert sont admises, puisqu’alors, l’annexe 26 pourrait être exécutée. </w:t>
      </w:r>
    </w:p>
    <w:p w14:paraId="36981C3E" w14:textId="77777777" w:rsidR="006D1E03" w:rsidRPr="006D1E03" w:rsidRDefault="006D1E03" w:rsidP="006D1E03">
      <w:pPr>
        <w:widowControl/>
        <w:suppressAutoHyphens w:val="0"/>
        <w:autoSpaceDE w:val="0"/>
        <w:adjustRightInd w:val="0"/>
        <w:jc w:val="both"/>
        <w:textAlignment w:val="auto"/>
        <w:rPr>
          <w:rFonts w:ascii="Calibri" w:eastAsia="Calibri" w:hAnsi="Calibri" w:cs="Calibri"/>
          <w:kern w:val="0"/>
          <w:lang w:eastAsia="en-US"/>
        </w:rPr>
      </w:pPr>
    </w:p>
    <w:p w14:paraId="04804055" w14:textId="77777777" w:rsidR="006D1E03" w:rsidRPr="006D1E03" w:rsidRDefault="006D1E03" w:rsidP="006D1E03">
      <w:pPr>
        <w:widowControl/>
        <w:suppressAutoHyphens w:val="0"/>
        <w:autoSpaceDE w:val="0"/>
        <w:adjustRightInd w:val="0"/>
        <w:jc w:val="both"/>
        <w:textAlignment w:val="auto"/>
        <w:rPr>
          <w:rFonts w:ascii="Calibri" w:eastAsia="Calibri" w:hAnsi="Calibri" w:cs="Calibri"/>
          <w:kern w:val="0"/>
          <w:lang w:eastAsia="en-US"/>
        </w:rPr>
      </w:pPr>
      <w:r w:rsidRPr="006D1E03">
        <w:rPr>
          <w:rFonts w:ascii="Calibri" w:eastAsia="Calibri" w:hAnsi="Calibri" w:cs="Calibri"/>
          <w:kern w:val="0"/>
          <w:lang w:eastAsia="en-US"/>
        </w:rPr>
        <w:t xml:space="preserve">Pourtant, tel n’est pas le cas, </w:t>
      </w:r>
      <w:r w:rsidRPr="006D1E03">
        <w:rPr>
          <w:rFonts w:ascii="Calibri" w:eastAsia="Calibri" w:hAnsi="Calibri" w:cs="Calibri"/>
          <w:i/>
          <w:kern w:val="0"/>
          <w:lang w:eastAsia="en-US"/>
        </w:rPr>
        <w:t>de facto</w:t>
      </w:r>
      <w:r w:rsidRPr="006D1E03">
        <w:rPr>
          <w:rFonts w:ascii="Calibri" w:eastAsia="Calibri" w:hAnsi="Calibri" w:cs="Calibri"/>
          <w:kern w:val="0"/>
          <w:lang w:eastAsia="en-US"/>
        </w:rPr>
        <w:t>, en Belgique, puisque le Tribunal n’a jamais été informé d’un cas où le C.C.E. a tranché le recours du demandeur d’asile Dubliné dans les 6 mois</w:t>
      </w:r>
      <w:r w:rsidRPr="006D1E03">
        <w:rPr>
          <w:rFonts w:ascii="Calibri" w:eastAsia="Calibri" w:hAnsi="Calibri" w:cs="Calibri"/>
          <w:kern w:val="0"/>
          <w:vertAlign w:val="superscript"/>
          <w:lang w:val="en-GB" w:eastAsia="en-US"/>
        </w:rPr>
        <w:footnoteReference w:id="12"/>
      </w:r>
      <w:r w:rsidRPr="006D1E03">
        <w:rPr>
          <w:rFonts w:ascii="Calibri" w:eastAsia="Calibri" w:hAnsi="Calibri" w:cs="Calibri"/>
          <w:kern w:val="0"/>
          <w:lang w:eastAsia="en-US"/>
        </w:rPr>
        <w:t>.</w:t>
      </w:r>
    </w:p>
    <w:p w14:paraId="4730AD22" w14:textId="77777777" w:rsidR="006D1E03" w:rsidRPr="006D1E03" w:rsidRDefault="006D1E03" w:rsidP="006D1E03">
      <w:pPr>
        <w:widowControl/>
        <w:suppressAutoHyphens w:val="0"/>
        <w:autoSpaceDE w:val="0"/>
        <w:adjustRightInd w:val="0"/>
        <w:jc w:val="both"/>
        <w:textAlignment w:val="auto"/>
        <w:rPr>
          <w:rFonts w:ascii="Calibri" w:eastAsia="Calibri" w:hAnsi="Calibri" w:cs="Calibri"/>
          <w:kern w:val="0"/>
          <w:lang w:eastAsia="en-US"/>
        </w:rPr>
      </w:pPr>
    </w:p>
    <w:p w14:paraId="316ECA4B" w14:textId="77777777" w:rsidR="006D1E03" w:rsidRPr="006D1E03" w:rsidRDefault="006D1E03" w:rsidP="006D1E03">
      <w:pPr>
        <w:widowControl/>
        <w:suppressAutoHyphens w:val="0"/>
        <w:autoSpaceDE w:val="0"/>
        <w:adjustRightInd w:val="0"/>
        <w:jc w:val="both"/>
        <w:textAlignment w:val="auto"/>
        <w:rPr>
          <w:rFonts w:ascii="Calibri" w:eastAsia="Calibri" w:hAnsi="Calibri" w:cs="Calibri"/>
          <w:kern w:val="0"/>
          <w:lang w:eastAsia="en-US"/>
        </w:rPr>
      </w:pPr>
      <w:r w:rsidRPr="006D1E03">
        <w:rPr>
          <w:rFonts w:ascii="Calibri" w:eastAsia="Calibri" w:hAnsi="Calibri" w:cs="Calibri"/>
          <w:kern w:val="0"/>
          <w:lang w:eastAsia="en-US"/>
        </w:rPr>
        <w:t>Si le recours est bien existant dans les textes pour obtenir la « suspension » et l’annulation de l’annexe 26 quater, il faut constater qu’il est, de fait, sans efficacité puisqu’aucune décision n’est prise dans le délai utile de 6 mois, durant lequel le demandeur de protection internationale risque une expulsion du territoire, avant que la Belgique ne redevienne territorialement compétente pour traiter la demande de protection internationale du sujet de droit dubliné en cause.</w:t>
      </w:r>
    </w:p>
    <w:p w14:paraId="02536A07" w14:textId="77777777" w:rsidR="006D1E03" w:rsidRPr="006D1E03" w:rsidRDefault="006D1E03" w:rsidP="006D1E03">
      <w:pPr>
        <w:widowControl/>
        <w:suppressAutoHyphens w:val="0"/>
        <w:autoSpaceDE w:val="0"/>
        <w:adjustRightInd w:val="0"/>
        <w:jc w:val="both"/>
        <w:textAlignment w:val="auto"/>
        <w:rPr>
          <w:rFonts w:ascii="Calibri" w:eastAsia="Calibri" w:hAnsi="Calibri" w:cs="Calibri"/>
          <w:kern w:val="0"/>
          <w:lang w:eastAsia="en-US"/>
        </w:rPr>
      </w:pPr>
    </w:p>
    <w:p w14:paraId="55174CA8"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A l’analyse du Tribunal, l’on touche ici au cœur des difficultés de l’application du règlement 604/2013 par la Belgique.</w:t>
      </w:r>
    </w:p>
    <w:p w14:paraId="79E4B920"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Si le recours réellement accessible au demandeur de protection internationale dubliné, hébergé dans un centre d’accueil, était efficace, le système d’acc</w:t>
      </w:r>
      <w:r w:rsidR="005C4924">
        <w:rPr>
          <w:rFonts w:ascii="Calibri" w:eastAsia="Calibri" w:hAnsi="Calibri" w:cs="Calibri"/>
          <w:kern w:val="0"/>
          <w:lang w:eastAsia="en-US"/>
        </w:rPr>
        <w:t>ueil mis en place par FEDASIL (</w:t>
      </w:r>
      <w:r w:rsidRPr="006D1E03">
        <w:rPr>
          <w:rFonts w:ascii="Calibri" w:eastAsia="Calibri" w:hAnsi="Calibri" w:cs="Calibri"/>
          <w:kern w:val="0"/>
          <w:lang w:eastAsia="en-US"/>
        </w:rPr>
        <w:t>soit le transfert en place Dublin) aurait une utilité : il serait effectivement temporaire, jusqu’à ce que le CCE ait statué, dans</w:t>
      </w:r>
      <w:r w:rsidR="005C4924">
        <w:rPr>
          <w:rFonts w:ascii="Calibri" w:eastAsia="Calibri" w:hAnsi="Calibri" w:cs="Calibri"/>
          <w:kern w:val="0"/>
          <w:lang w:eastAsia="en-US"/>
        </w:rPr>
        <w:t xml:space="preserve"> un</w:t>
      </w:r>
      <w:r w:rsidRPr="006D1E03">
        <w:rPr>
          <w:rFonts w:ascii="Calibri" w:eastAsia="Calibri" w:hAnsi="Calibri" w:cs="Calibri"/>
          <w:kern w:val="0"/>
          <w:lang w:eastAsia="en-US"/>
        </w:rPr>
        <w:t xml:space="preserve"> sens positif ou négatif.</w:t>
      </w:r>
    </w:p>
    <w:p w14:paraId="569EE747"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lastRenderedPageBreak/>
        <w:t xml:space="preserve">Dans cette hypothèse, le considérant n° 40 de l’Ordonnance du 26.03.2021 a toute son adéquation (une certaine « logique » de prise en charge du demandeur d’asile).  </w:t>
      </w:r>
    </w:p>
    <w:p w14:paraId="291B62F0"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Toutefois, la réalité ne correspond pas à cette description.</w:t>
      </w:r>
    </w:p>
    <w:p w14:paraId="1AAF6A5B"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Le recours en annulation contre l’annexe 26 quater est systématiquement introduit devant le C.C.E. … et l’arrêt n’intervient jamais dans les 6 mois utiles pour le demandeur de protection internationale.</w:t>
      </w:r>
    </w:p>
    <w:p w14:paraId="568FDE61"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Il faut constater que la Belgique a déjà été stigmatisée par la Cour Européenne de Strasbourg notamment en 2014</w:t>
      </w:r>
      <w:r w:rsidRPr="006D1E03">
        <w:rPr>
          <w:rFonts w:ascii="Calibri" w:eastAsia="Calibri" w:hAnsi="Calibri" w:cs="Calibri"/>
          <w:kern w:val="0"/>
          <w:vertAlign w:val="superscript"/>
          <w:lang w:val="en-GB" w:eastAsia="en-US"/>
        </w:rPr>
        <w:footnoteReference w:id="13"/>
      </w:r>
      <w:r w:rsidRPr="006D1E03">
        <w:rPr>
          <w:rFonts w:ascii="Calibri" w:eastAsia="Calibri" w:hAnsi="Calibri" w:cs="Calibri"/>
          <w:kern w:val="0"/>
          <w:lang w:eastAsia="en-US"/>
        </w:rPr>
        <w:t> :</w:t>
      </w:r>
    </w:p>
    <w:p w14:paraId="6853075A"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i/>
          <w:kern w:val="0"/>
          <w:lang w:eastAsia="en-US"/>
        </w:rPr>
      </w:pPr>
      <w:r w:rsidRPr="006D1E03">
        <w:rPr>
          <w:rFonts w:ascii="Calibri" w:eastAsia="Calibri" w:hAnsi="Calibri" w:cs="Calibri"/>
          <w:i/>
          <w:kern w:val="0"/>
          <w:lang w:eastAsia="en-US"/>
        </w:rPr>
        <w:t>«  La Cour intègre à sa critique le défaut d’effectivité de la procédure belge, la prise en compte de sa complexité excessive, rendant les recours existants difficilement opérationnels au regard des exigences de disponibilité et d’accessibilité des recours en droit, comme en pratique</w:t>
      </w:r>
      <w:r w:rsidRPr="006D1E03">
        <w:rPr>
          <w:rFonts w:ascii="Calibri" w:eastAsia="Calibri" w:hAnsi="Calibri" w:cs="Calibri"/>
          <w:i/>
          <w:kern w:val="0"/>
          <w:vertAlign w:val="superscript"/>
          <w:lang w:val="en-GB" w:eastAsia="en-US"/>
        </w:rPr>
        <w:footnoteReference w:id="14"/>
      </w:r>
      <w:r w:rsidRPr="006D1E03">
        <w:rPr>
          <w:rFonts w:ascii="Calibri" w:eastAsia="Calibri" w:hAnsi="Calibri" w:cs="Calibri"/>
          <w:i/>
          <w:kern w:val="0"/>
          <w:lang w:eastAsia="en-US"/>
        </w:rPr>
        <w:t> »</w:t>
      </w:r>
    </w:p>
    <w:p w14:paraId="544DF8E9"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Selon le Tribunal, l</w:t>
      </w:r>
      <w:r w:rsidR="005C4924">
        <w:rPr>
          <w:rFonts w:ascii="Calibri" w:eastAsia="Calibri" w:hAnsi="Calibri" w:cs="Calibri"/>
          <w:kern w:val="0"/>
          <w:lang w:eastAsia="en-US"/>
        </w:rPr>
        <w:t>e recours de l’article 39/2§2 (</w:t>
      </w:r>
      <w:r w:rsidRPr="006D1E03">
        <w:rPr>
          <w:rFonts w:ascii="Calibri" w:eastAsia="Calibri" w:hAnsi="Calibri" w:cs="Calibri"/>
          <w:kern w:val="0"/>
          <w:lang w:eastAsia="en-US"/>
        </w:rPr>
        <w:t>et l’accessoire de l’article 39/89) de la loi du 15.12.1980 constitue un bel exemple de « recours existant difficilement opérationnel ».</w:t>
      </w:r>
    </w:p>
    <w:p w14:paraId="4E52EE17"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Or selon la Cour de Strasbourg, le recours effectif doit être accessible en droit et en fait. Si un recours existe dans les textes, mais n’est pas accessible en pratique, cela n’est pas suffisant</w:t>
      </w:r>
      <w:r w:rsidRPr="006D1E03">
        <w:rPr>
          <w:rFonts w:ascii="Calibri" w:eastAsia="Calibri" w:hAnsi="Calibri" w:cs="Calibri"/>
          <w:kern w:val="0"/>
          <w:vertAlign w:val="superscript"/>
          <w:lang w:val="en-GB" w:eastAsia="en-US"/>
        </w:rPr>
        <w:footnoteReference w:id="15"/>
      </w:r>
      <w:r w:rsidRPr="006D1E03">
        <w:rPr>
          <w:rFonts w:ascii="Calibri" w:eastAsia="Calibri" w:hAnsi="Calibri" w:cs="Calibri"/>
          <w:kern w:val="0"/>
          <w:lang w:eastAsia="en-US"/>
        </w:rPr>
        <w:t>.</w:t>
      </w:r>
    </w:p>
    <w:p w14:paraId="5E84D453"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Un recours accessible, mais systématiquement inefficace n’est pas compatible avec l’article 47 de la Charte des droits fondamentaux de l’UE, ni avec l’article 13 de la CEDH, en ce qu’il n’est pas EFFECTIF.</w:t>
      </w:r>
    </w:p>
    <w:p w14:paraId="28D26A8A"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u w:val="single"/>
          <w:lang w:eastAsia="en-US"/>
        </w:rPr>
      </w:pPr>
      <w:r w:rsidRPr="006D1E03">
        <w:rPr>
          <w:rFonts w:ascii="Calibri" w:eastAsia="Calibri" w:hAnsi="Calibri" w:cs="Calibri"/>
          <w:kern w:val="0"/>
          <w:lang w:eastAsia="en-US"/>
        </w:rPr>
        <w:t xml:space="preserve">En effet, si le demandeur d’asile a bien le droit de déposer une requête au greffe du C.C.E., ce à quoi il a surtout droit, </w:t>
      </w:r>
      <w:r w:rsidRPr="006D1E03">
        <w:rPr>
          <w:rFonts w:ascii="Calibri" w:eastAsia="Calibri" w:hAnsi="Calibri" w:cs="Calibri"/>
          <w:kern w:val="0"/>
          <w:u w:val="single"/>
          <w:lang w:eastAsia="en-US"/>
        </w:rPr>
        <w:t>c’est d’obtenir une décision de la juridiction en cause.</w:t>
      </w:r>
    </w:p>
    <w:p w14:paraId="2B4E09AC"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 xml:space="preserve">Vu l’écoulement du délai de 6 mois dans le cadre de la procédure Dublin III, à partir de la prise de position de l’Etat de renvoi, c’est dans ce délai que la demandeur doit obtenir une décision au recours introduit, faute de quoi le recours n’est, de fait, pas efficace. </w:t>
      </w:r>
    </w:p>
    <w:p w14:paraId="6BD5E7A5"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La conséquence concrète est que la « place retour » en centre d’accueil n’est pas un simple changement de résidence, coïncidant avec des mesures préparatoires à une déci</w:t>
      </w:r>
      <w:r w:rsidR="005C4924">
        <w:rPr>
          <w:rFonts w:ascii="Calibri" w:eastAsia="Calibri" w:hAnsi="Calibri" w:cs="Calibri"/>
          <w:kern w:val="0"/>
          <w:lang w:eastAsia="en-US"/>
        </w:rPr>
        <w:t>sion du C.C.E. (</w:t>
      </w:r>
      <w:r w:rsidRPr="006D1E03">
        <w:rPr>
          <w:rFonts w:ascii="Calibri" w:eastAsia="Calibri" w:hAnsi="Calibri" w:cs="Calibri"/>
          <w:kern w:val="0"/>
          <w:lang w:eastAsia="en-US"/>
        </w:rPr>
        <w:t xml:space="preserve">thèse développée dans l’Ordonnance UE du 26.03.2021),  mais bien un endroit, où à défaut d’efficacité du recours pendant contre l’annexe 26 </w:t>
      </w:r>
      <w:r w:rsidR="005C4924">
        <w:rPr>
          <w:rFonts w:ascii="Calibri" w:eastAsia="Calibri" w:hAnsi="Calibri" w:cs="Calibri"/>
          <w:kern w:val="0"/>
          <w:lang w:eastAsia="en-US"/>
        </w:rPr>
        <w:t>quater, il convient d’inviter (</w:t>
      </w:r>
      <w:r w:rsidRPr="006D1E03">
        <w:rPr>
          <w:rFonts w:ascii="Calibri" w:eastAsia="Calibri" w:hAnsi="Calibri" w:cs="Calibri"/>
          <w:kern w:val="0"/>
          <w:lang w:eastAsia="en-US"/>
        </w:rPr>
        <w:t>avec une certaine insistance ?</w:t>
      </w:r>
      <w:r w:rsidRPr="006D1E03">
        <w:rPr>
          <w:rFonts w:ascii="Calibri" w:eastAsia="Calibri" w:hAnsi="Calibri" w:cs="Calibri"/>
          <w:kern w:val="0"/>
          <w:vertAlign w:val="superscript"/>
          <w:lang w:val="en-GB" w:eastAsia="en-US"/>
        </w:rPr>
        <w:footnoteReference w:id="16"/>
      </w:r>
      <w:r w:rsidRPr="006D1E03">
        <w:rPr>
          <w:rFonts w:ascii="Calibri" w:eastAsia="Calibri" w:hAnsi="Calibri" w:cs="Calibri"/>
          <w:kern w:val="0"/>
          <w:lang w:eastAsia="en-US"/>
        </w:rPr>
        <w:t>), le demandeur d’asile dubliné à marquer son accord sur un dépar</w:t>
      </w:r>
      <w:r w:rsidR="005C4924">
        <w:rPr>
          <w:rFonts w:ascii="Calibri" w:eastAsia="Calibri" w:hAnsi="Calibri" w:cs="Calibri"/>
          <w:kern w:val="0"/>
          <w:lang w:eastAsia="en-US"/>
        </w:rPr>
        <w:t>t volontaire, très rapidement (</w:t>
      </w:r>
      <w:r w:rsidRPr="006D1E03">
        <w:rPr>
          <w:rFonts w:ascii="Calibri" w:eastAsia="Calibri" w:hAnsi="Calibri" w:cs="Calibri"/>
          <w:kern w:val="0"/>
          <w:lang w:eastAsia="en-US"/>
        </w:rPr>
        <w:t>alors que le recours introduit devant le CCE est peut-être fondé du point de vue de la violation de l’article 3 de la CEDH).</w:t>
      </w:r>
    </w:p>
    <w:p w14:paraId="08248ED2"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Un constat s’impose en tout cas : la réalité à la base du raisonnement de la Cour de Justice de Luxembourg dans son Ordonnance du 26.03.2021 repose sur l’efficacité</w:t>
      </w:r>
      <w:r w:rsidR="005C4924">
        <w:rPr>
          <w:rFonts w:ascii="Calibri" w:eastAsia="Calibri" w:hAnsi="Calibri" w:cs="Calibri"/>
          <w:kern w:val="0"/>
          <w:lang w:eastAsia="en-US"/>
        </w:rPr>
        <w:t xml:space="preserve"> d’un recours en  droit Belge (</w:t>
      </w:r>
      <w:r w:rsidRPr="006D1E03">
        <w:rPr>
          <w:rFonts w:ascii="Calibri" w:eastAsia="Calibri" w:hAnsi="Calibri" w:cs="Calibri"/>
          <w:kern w:val="0"/>
          <w:lang w:eastAsia="en-US"/>
        </w:rPr>
        <w:t>suspension/annulation de l’annexe 26 quater), qui, de fait, n’existe pas.</w:t>
      </w:r>
    </w:p>
    <w:p w14:paraId="7D87B4B9"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lastRenderedPageBreak/>
        <w:t xml:space="preserve">Cette donnée met à mal le sens de l’accueil proposé par FEDASIL en centre d’accueil « places Dublin ». </w:t>
      </w:r>
    </w:p>
    <w:p w14:paraId="5A2D2460"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 xml:space="preserve">Si FEDASIL n’est naturellement pas responsable de cette situation, les victimes principales sont surtout des personnes fragilisées à la base, qui – adéquatement ou pas- </w:t>
      </w:r>
      <w:r w:rsidR="005C4924">
        <w:rPr>
          <w:rFonts w:ascii="Calibri" w:eastAsia="Calibri" w:hAnsi="Calibri" w:cs="Calibri"/>
          <w:kern w:val="0"/>
          <w:lang w:eastAsia="en-US"/>
        </w:rPr>
        <w:t>craignent pour leur liberté et/</w:t>
      </w:r>
      <w:r w:rsidRPr="006D1E03">
        <w:rPr>
          <w:rFonts w:ascii="Calibri" w:eastAsia="Calibri" w:hAnsi="Calibri" w:cs="Calibri"/>
          <w:kern w:val="0"/>
          <w:lang w:eastAsia="en-US"/>
        </w:rPr>
        <w:t>ou pour la préservation de leurs besoins é</w:t>
      </w:r>
      <w:r w:rsidR="005C4924">
        <w:rPr>
          <w:rFonts w:ascii="Calibri" w:eastAsia="Calibri" w:hAnsi="Calibri" w:cs="Calibri"/>
          <w:kern w:val="0"/>
          <w:lang w:eastAsia="en-US"/>
        </w:rPr>
        <w:t>lémentaires, dans le cadre d’un</w:t>
      </w:r>
      <w:r w:rsidRPr="006D1E03">
        <w:rPr>
          <w:rFonts w:ascii="Calibri" w:eastAsia="Calibri" w:hAnsi="Calibri" w:cs="Calibri"/>
          <w:kern w:val="0"/>
          <w:lang w:eastAsia="en-US"/>
        </w:rPr>
        <w:t xml:space="preserve"> hébergement en place Dublin.</w:t>
      </w:r>
    </w:p>
    <w:p w14:paraId="10D96ACB"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 xml:space="preserve">En conclusion, à l’analyse du Tribunal, l’Ordonnance du 26.03.2021 n’avalise pas la réalité constatée  dans l’ordre juridique Belge, bien différente de celle-prise en compte par la Cour de Luxembourg. </w:t>
      </w:r>
    </w:p>
    <w:p w14:paraId="7FE2A125" w14:textId="77777777" w:rsidR="006D1E03" w:rsidRPr="006D1E03" w:rsidRDefault="006D1E03" w:rsidP="006D1E03">
      <w:pPr>
        <w:widowControl/>
        <w:suppressAutoHyphens w:val="0"/>
        <w:autoSpaceDN/>
        <w:spacing w:after="160" w:line="259" w:lineRule="auto"/>
        <w:jc w:val="both"/>
        <w:textAlignment w:val="auto"/>
        <w:rPr>
          <w:rFonts w:ascii="Calibri" w:eastAsia="Calibri" w:hAnsi="Calibri" w:cs="Calibri"/>
          <w:kern w:val="0"/>
          <w:lang w:eastAsia="en-US"/>
        </w:rPr>
      </w:pPr>
      <w:r w:rsidRPr="006D1E03">
        <w:rPr>
          <w:rFonts w:ascii="Calibri" w:eastAsia="Calibri" w:hAnsi="Calibri" w:cs="Calibri"/>
          <w:kern w:val="0"/>
          <w:lang w:eastAsia="en-US"/>
        </w:rPr>
        <w:t xml:space="preserve">Pour tous ces motifs, au stade de l’analyse des apparences de droit, le Tribunal déclare la tierce opposition de </w:t>
      </w:r>
      <w:proofErr w:type="spellStart"/>
      <w:r w:rsidRPr="006D1E03">
        <w:rPr>
          <w:rFonts w:ascii="Calibri" w:eastAsia="Calibri" w:hAnsi="Calibri" w:cs="Calibri"/>
          <w:kern w:val="0"/>
          <w:lang w:eastAsia="en-US"/>
        </w:rPr>
        <w:t>Fédasil</w:t>
      </w:r>
      <w:proofErr w:type="spellEnd"/>
      <w:r w:rsidRPr="006D1E03">
        <w:rPr>
          <w:rFonts w:ascii="Calibri" w:eastAsia="Calibri" w:hAnsi="Calibri" w:cs="Calibri"/>
          <w:kern w:val="0"/>
          <w:lang w:eastAsia="en-US"/>
        </w:rPr>
        <w:t xml:space="preserve"> recevable, mais non fondée.</w:t>
      </w:r>
    </w:p>
    <w:p w14:paraId="344CF982" w14:textId="77777777" w:rsidR="00DC19BA" w:rsidRDefault="006D1E03" w:rsidP="005C4924">
      <w:pPr>
        <w:widowControl/>
        <w:suppressAutoHyphens w:val="0"/>
        <w:autoSpaceDN/>
        <w:spacing w:after="160" w:line="259" w:lineRule="auto"/>
        <w:jc w:val="both"/>
        <w:textAlignment w:val="auto"/>
        <w:rPr>
          <w:rFonts w:asciiTheme="minorHAnsi" w:hAnsiTheme="minorHAnsi" w:cstheme="minorHAnsi"/>
          <w:sz w:val="22"/>
          <w:szCs w:val="22"/>
          <w:lang w:val="fr-FR"/>
        </w:rPr>
      </w:pPr>
      <w:r w:rsidRPr="006D1E03">
        <w:rPr>
          <w:rFonts w:ascii="Calibri" w:eastAsia="Calibri" w:hAnsi="Calibri" w:cs="Calibri"/>
          <w:kern w:val="0"/>
          <w:lang w:eastAsia="en-US"/>
        </w:rPr>
        <w:t>Ce fait, confirme l’ordonnance prononcée en date du  09.06.2022,</w:t>
      </w:r>
      <w:r w:rsidR="005C4924">
        <w:rPr>
          <w:rFonts w:ascii="Calibri" w:eastAsia="Calibri" w:hAnsi="Calibri" w:cs="Calibri"/>
          <w:kern w:val="0"/>
          <w:lang w:eastAsia="en-US"/>
        </w:rPr>
        <w:t xml:space="preserve"> prononcée dans le dossier RG </w:t>
      </w:r>
      <w:r w:rsidRPr="006D1E03">
        <w:rPr>
          <w:rFonts w:ascii="Calibri" w:eastAsia="Calibri" w:hAnsi="Calibri" w:cs="Calibri"/>
          <w:kern w:val="0"/>
          <w:lang w:eastAsia="en-US"/>
        </w:rPr>
        <w:t>22/94/</w:t>
      </w:r>
      <w:r w:rsidR="005C4924" w:rsidRPr="006D1E03">
        <w:rPr>
          <w:rFonts w:ascii="Calibri" w:eastAsia="Calibri" w:hAnsi="Calibri" w:cs="Calibri"/>
          <w:kern w:val="0"/>
          <w:lang w:eastAsia="en-US"/>
        </w:rPr>
        <w:t>K</w:t>
      </w:r>
      <w:r w:rsidRPr="006D1E03">
        <w:rPr>
          <w:rFonts w:ascii="Calibri" w:eastAsia="Calibri" w:hAnsi="Calibri" w:cs="Calibri"/>
          <w:kern w:val="0"/>
          <w:lang w:eastAsia="en-US"/>
        </w:rPr>
        <w:t xml:space="preserve"> de la division de Namur, du Tribunal du travail de Liège.</w:t>
      </w:r>
    </w:p>
    <w:p w14:paraId="080CCDD1" w14:textId="77777777" w:rsidR="00434F87" w:rsidRDefault="00DC19BA" w:rsidP="003B3F57">
      <w:pPr>
        <w:pStyle w:val="Textebrut"/>
        <w:rPr>
          <w:rFonts w:asciiTheme="minorHAnsi" w:hAnsiTheme="minorHAnsi" w:cstheme="minorHAnsi"/>
          <w:b/>
          <w:sz w:val="22"/>
          <w:szCs w:val="22"/>
          <w:lang w:val="fr-FR"/>
        </w:rPr>
      </w:pPr>
      <w:r>
        <w:rPr>
          <w:rFonts w:asciiTheme="minorHAnsi" w:hAnsiTheme="minorHAnsi" w:cstheme="minorHAnsi"/>
          <w:b/>
          <w:sz w:val="22"/>
          <w:szCs w:val="22"/>
          <w:lang w:val="fr-FR"/>
        </w:rPr>
        <w:t>PAR CES MOTIFS,</w:t>
      </w:r>
    </w:p>
    <w:p w14:paraId="6E407961" w14:textId="77777777" w:rsidR="005C4924" w:rsidRPr="005C4924" w:rsidRDefault="005C4924" w:rsidP="005C4924">
      <w:pPr>
        <w:widowControl/>
        <w:suppressAutoHyphens w:val="0"/>
        <w:autoSpaceDN/>
        <w:spacing w:after="160" w:line="259" w:lineRule="auto"/>
        <w:jc w:val="both"/>
        <w:textAlignment w:val="auto"/>
        <w:rPr>
          <w:rFonts w:ascii="Calibri" w:eastAsia="Calibri" w:hAnsi="Calibri" w:cs="Calibri"/>
          <w:kern w:val="0"/>
          <w:lang w:eastAsia="en-US"/>
        </w:rPr>
      </w:pPr>
      <w:r w:rsidRPr="005C4924">
        <w:rPr>
          <w:rFonts w:ascii="Calibri" w:eastAsia="Calibri" w:hAnsi="Calibri" w:cs="Calibri"/>
          <w:kern w:val="0"/>
          <w:lang w:eastAsia="en-US"/>
        </w:rPr>
        <w:t>Statuant publiquement et contradictoirement sous le bénéfice de l’urgence, et au provisoire,</w:t>
      </w:r>
    </w:p>
    <w:p w14:paraId="3A7D6FC1" w14:textId="77777777" w:rsidR="005C4924" w:rsidRPr="005C4924" w:rsidRDefault="005C4924" w:rsidP="005C4924">
      <w:pPr>
        <w:widowControl/>
        <w:suppressAutoHyphens w:val="0"/>
        <w:autoSpaceDN/>
        <w:spacing w:after="160" w:line="259" w:lineRule="auto"/>
        <w:jc w:val="both"/>
        <w:textAlignment w:val="auto"/>
        <w:rPr>
          <w:rFonts w:ascii="Calibri" w:eastAsia="Calibri" w:hAnsi="Calibri" w:cs="Calibri"/>
          <w:kern w:val="0"/>
          <w:lang w:eastAsia="en-US"/>
        </w:rPr>
      </w:pPr>
      <w:r w:rsidRPr="005C4924">
        <w:rPr>
          <w:rFonts w:ascii="Calibri" w:eastAsia="Calibri" w:hAnsi="Calibri" w:cs="Calibri"/>
          <w:kern w:val="0"/>
          <w:lang w:eastAsia="en-US"/>
        </w:rPr>
        <w:t xml:space="preserve">Le Tribunal dit la tierce opposition de </w:t>
      </w:r>
      <w:proofErr w:type="spellStart"/>
      <w:r w:rsidRPr="005C4924">
        <w:rPr>
          <w:rFonts w:ascii="Calibri" w:eastAsia="Calibri" w:hAnsi="Calibri" w:cs="Calibri"/>
          <w:kern w:val="0"/>
          <w:lang w:eastAsia="en-US"/>
        </w:rPr>
        <w:t>Fédasil</w:t>
      </w:r>
      <w:proofErr w:type="spellEnd"/>
      <w:r w:rsidRPr="005C4924">
        <w:rPr>
          <w:rFonts w:ascii="Calibri" w:eastAsia="Calibri" w:hAnsi="Calibri" w:cs="Calibri"/>
          <w:kern w:val="0"/>
          <w:lang w:eastAsia="en-US"/>
        </w:rPr>
        <w:t xml:space="preserve"> recevable, mais la déclare non fondée.</w:t>
      </w:r>
    </w:p>
    <w:p w14:paraId="79352024" w14:textId="77777777" w:rsidR="005C4924" w:rsidRPr="005C4924" w:rsidRDefault="005C4924" w:rsidP="005C4924">
      <w:pPr>
        <w:widowControl/>
        <w:suppressAutoHyphens w:val="0"/>
        <w:autoSpaceDN/>
        <w:spacing w:after="160" w:line="259" w:lineRule="auto"/>
        <w:jc w:val="both"/>
        <w:textAlignment w:val="auto"/>
        <w:rPr>
          <w:rFonts w:ascii="Calibri" w:eastAsia="Calibri" w:hAnsi="Calibri" w:cs="Calibri"/>
          <w:kern w:val="0"/>
          <w:lang w:eastAsia="en-US"/>
        </w:rPr>
      </w:pPr>
      <w:r w:rsidRPr="005C4924">
        <w:rPr>
          <w:rFonts w:ascii="Calibri" w:eastAsia="Calibri" w:hAnsi="Calibri" w:cs="Calibri"/>
          <w:kern w:val="0"/>
          <w:lang w:eastAsia="en-US"/>
        </w:rPr>
        <w:t>Ce fait, confirme l’Ordonnance du 09.06.2022 en toutes ses dispositions.</w:t>
      </w:r>
    </w:p>
    <w:p w14:paraId="061F0DE7" w14:textId="77777777" w:rsidR="00434F87" w:rsidRPr="00DC19BA" w:rsidRDefault="005C4924" w:rsidP="005C4924">
      <w:pPr>
        <w:widowControl/>
        <w:suppressAutoHyphens w:val="0"/>
        <w:autoSpaceDN/>
        <w:spacing w:after="160" w:line="259" w:lineRule="auto"/>
        <w:jc w:val="both"/>
        <w:textAlignment w:val="auto"/>
        <w:rPr>
          <w:rFonts w:asciiTheme="minorHAnsi" w:hAnsiTheme="minorHAnsi" w:cstheme="minorHAnsi"/>
          <w:sz w:val="22"/>
          <w:szCs w:val="22"/>
          <w:lang w:val="fr-FR"/>
        </w:rPr>
      </w:pPr>
      <w:r w:rsidRPr="005C4924">
        <w:rPr>
          <w:rFonts w:ascii="Calibri" w:eastAsia="Calibri" w:hAnsi="Calibri" w:cs="Calibri"/>
          <w:kern w:val="0"/>
          <w:lang w:eastAsia="en-US"/>
        </w:rPr>
        <w:t xml:space="preserve">Condamne </w:t>
      </w:r>
      <w:proofErr w:type="spellStart"/>
      <w:r w:rsidRPr="005C4924">
        <w:rPr>
          <w:rFonts w:ascii="Calibri" w:eastAsia="Calibri" w:hAnsi="Calibri" w:cs="Calibri"/>
          <w:kern w:val="0"/>
          <w:lang w:eastAsia="en-US"/>
        </w:rPr>
        <w:t>Fédasil</w:t>
      </w:r>
      <w:proofErr w:type="spellEnd"/>
      <w:r w:rsidRPr="005C4924">
        <w:rPr>
          <w:rFonts w:ascii="Calibri" w:eastAsia="Calibri" w:hAnsi="Calibri" w:cs="Calibri"/>
          <w:kern w:val="0"/>
          <w:lang w:eastAsia="en-US"/>
        </w:rPr>
        <w:t xml:space="preserve"> aux frais et dépens de la procédure, non liquidés, dont le montant de 22 euros au bénéfice du fonds cofinançant l’aide juridique de 2</w:t>
      </w:r>
      <w:r w:rsidRPr="005C4924">
        <w:rPr>
          <w:rFonts w:ascii="Calibri" w:eastAsia="Calibri" w:hAnsi="Calibri" w:cs="Calibri"/>
          <w:kern w:val="0"/>
          <w:vertAlign w:val="superscript"/>
          <w:lang w:eastAsia="en-US"/>
        </w:rPr>
        <w:t>ème</w:t>
      </w:r>
      <w:r w:rsidRPr="005C4924">
        <w:rPr>
          <w:rFonts w:ascii="Calibri" w:eastAsia="Calibri" w:hAnsi="Calibri" w:cs="Calibri"/>
          <w:kern w:val="0"/>
          <w:lang w:eastAsia="en-US"/>
        </w:rPr>
        <w:t xml:space="preserve"> ligne. </w:t>
      </w:r>
    </w:p>
    <w:bookmarkEnd w:id="1"/>
    <w:p w14:paraId="7064FE1A" w14:textId="77777777" w:rsidR="00DC19BA" w:rsidRPr="00DC19BA" w:rsidRDefault="00434F87" w:rsidP="00434F87">
      <w:pPr>
        <w:jc w:val="both"/>
        <w:rPr>
          <w:rFonts w:asciiTheme="minorHAnsi" w:hAnsiTheme="minorHAnsi" w:cstheme="minorHAnsi"/>
          <w:snapToGrid w:val="0"/>
          <w:sz w:val="22"/>
          <w:szCs w:val="22"/>
          <w:lang w:eastAsia="fr-FR"/>
        </w:rPr>
      </w:pPr>
      <w:r w:rsidRPr="00DC19BA">
        <w:rPr>
          <w:rFonts w:asciiTheme="minorHAnsi" w:hAnsiTheme="minorHAnsi" w:cstheme="minorHAnsi"/>
          <w:snapToGrid w:val="0"/>
          <w:sz w:val="22"/>
          <w:szCs w:val="22"/>
          <w:lang w:eastAsia="fr-FR"/>
        </w:rPr>
        <w:t>AINSI</w:t>
      </w:r>
      <w:r w:rsidR="00DC19BA" w:rsidRPr="00DC19BA">
        <w:rPr>
          <w:rFonts w:asciiTheme="minorHAnsi" w:hAnsiTheme="minorHAnsi" w:cstheme="minorHAnsi"/>
          <w:snapToGrid w:val="0"/>
          <w:sz w:val="22"/>
          <w:szCs w:val="22"/>
          <w:lang w:eastAsia="fr-FR"/>
        </w:rPr>
        <w:t xml:space="preserve"> prononcé, en Notre cabinet, place du Palais</w:t>
      </w:r>
      <w:r w:rsidR="00DC19BA">
        <w:rPr>
          <w:rFonts w:asciiTheme="minorHAnsi" w:hAnsiTheme="minorHAnsi" w:cstheme="minorHAnsi"/>
          <w:snapToGrid w:val="0"/>
          <w:sz w:val="22"/>
          <w:szCs w:val="22"/>
          <w:lang w:eastAsia="fr-FR"/>
        </w:rPr>
        <w:t xml:space="preserve"> de Justice 5, </w:t>
      </w:r>
      <w:r w:rsidR="00DC19BA" w:rsidRPr="00DC19BA">
        <w:rPr>
          <w:rFonts w:asciiTheme="minorHAnsi" w:hAnsiTheme="minorHAnsi" w:cstheme="minorHAnsi"/>
          <w:snapToGrid w:val="0"/>
          <w:sz w:val="22"/>
          <w:szCs w:val="22"/>
          <w:lang w:eastAsia="fr-FR"/>
        </w:rPr>
        <w:t xml:space="preserve">à 5000 NAMUR, ce </w:t>
      </w:r>
      <w:r w:rsidR="005C4924">
        <w:rPr>
          <w:rFonts w:asciiTheme="minorHAnsi" w:hAnsiTheme="minorHAnsi" w:cstheme="minorHAnsi"/>
          <w:snapToGrid w:val="0"/>
          <w:sz w:val="22"/>
          <w:szCs w:val="22"/>
          <w:lang w:eastAsia="fr-FR"/>
        </w:rPr>
        <w:t>lundi 12 septembre 2022</w:t>
      </w:r>
      <w:r w:rsidR="00DC19BA" w:rsidRPr="00DC19BA">
        <w:rPr>
          <w:rFonts w:asciiTheme="minorHAnsi" w:hAnsiTheme="minorHAnsi" w:cstheme="minorHAnsi"/>
          <w:snapToGrid w:val="0"/>
          <w:sz w:val="22"/>
          <w:szCs w:val="22"/>
          <w:lang w:eastAsia="fr-FR"/>
        </w:rPr>
        <w:t>,</w:t>
      </w:r>
    </w:p>
    <w:p w14:paraId="6D752B92" w14:textId="77777777" w:rsidR="00DC19BA" w:rsidRPr="00DC19BA" w:rsidRDefault="00DC19BA" w:rsidP="00434F87">
      <w:pPr>
        <w:jc w:val="both"/>
        <w:rPr>
          <w:rFonts w:asciiTheme="minorHAnsi" w:hAnsiTheme="minorHAnsi" w:cstheme="minorHAnsi"/>
          <w:snapToGrid w:val="0"/>
          <w:sz w:val="22"/>
          <w:szCs w:val="22"/>
          <w:lang w:eastAsia="fr-FR"/>
        </w:rPr>
      </w:pPr>
    </w:p>
    <w:p w14:paraId="43157141" w14:textId="77777777" w:rsidR="00DC19BA" w:rsidRDefault="00DC19BA" w:rsidP="00434F87">
      <w:pPr>
        <w:jc w:val="both"/>
        <w:rPr>
          <w:rFonts w:asciiTheme="minorHAnsi" w:hAnsiTheme="minorHAnsi" w:cstheme="minorHAnsi"/>
          <w:sz w:val="22"/>
          <w:szCs w:val="22"/>
          <w:lang w:val="fr-FR"/>
        </w:rPr>
      </w:pPr>
      <w:r w:rsidRPr="00DC19BA">
        <w:rPr>
          <w:rFonts w:asciiTheme="minorHAnsi" w:hAnsiTheme="minorHAnsi" w:cstheme="minorHAnsi"/>
          <w:snapToGrid w:val="0"/>
          <w:sz w:val="22"/>
          <w:szCs w:val="22"/>
          <w:lang w:eastAsia="fr-FR"/>
        </w:rPr>
        <w:t xml:space="preserve">Et nous avons signé la présente ordonnance avec </w:t>
      </w:r>
      <w:sdt>
        <w:sdtPr>
          <w:rPr>
            <w:rFonts w:asciiTheme="minorHAnsi" w:hAnsiTheme="minorHAnsi" w:cstheme="minorHAnsi"/>
            <w:sz w:val="22"/>
            <w:szCs w:val="22"/>
            <w:lang w:val="fr-FR"/>
          </w:rPr>
          <w:id w:val="-784573567"/>
          <w:placeholder>
            <w:docPart w:val="FF812B2D46764D6AABB34832EC682AE6"/>
          </w:placeholder>
          <w:comboBox>
            <w:listItem w:displayText="Angélique GILLES, Greffier chef de service" w:value="Angélique GILLES, Greffier chef de service"/>
            <w:listItem w:displayText="Murielle LAMBERT, Greffier" w:value="Murielle LAMBERT, Greffier"/>
            <w:listItem w:displayText="Béatrice PETIT, Greffier" w:value="Béatrice PETIT, Greffier"/>
            <w:listItem w:displayText="Anne DE LAET, Greffier" w:value="Anne DE LAET, Greffier"/>
            <w:listItem w:displayText="Camille JASSELETTE, Greffier" w:value="Camille JASSELETTE, Greffier"/>
          </w:comboBox>
        </w:sdtPr>
        <w:sdtEndPr/>
        <w:sdtContent>
          <w:r>
            <w:rPr>
              <w:rFonts w:asciiTheme="minorHAnsi" w:hAnsiTheme="minorHAnsi" w:cstheme="minorHAnsi"/>
              <w:sz w:val="22"/>
              <w:szCs w:val="22"/>
              <w:lang w:val="fr-FR"/>
            </w:rPr>
            <w:t>Angélique GILLES, Greffier chef de service</w:t>
          </w:r>
        </w:sdtContent>
      </w:sdt>
      <w:r>
        <w:rPr>
          <w:rFonts w:asciiTheme="minorHAnsi" w:hAnsiTheme="minorHAnsi" w:cstheme="minorHAnsi"/>
          <w:sz w:val="22"/>
          <w:szCs w:val="22"/>
          <w:lang w:val="fr-FR"/>
        </w:rPr>
        <w:t>, qui Nous assistait au prononcé.</w:t>
      </w:r>
    </w:p>
    <w:p w14:paraId="28A6B623" w14:textId="77777777" w:rsidR="005C4924" w:rsidRDefault="005C4924" w:rsidP="00434F87">
      <w:pPr>
        <w:jc w:val="both"/>
        <w:rPr>
          <w:rFonts w:asciiTheme="minorHAnsi" w:hAnsiTheme="minorHAnsi" w:cstheme="minorHAnsi"/>
          <w:sz w:val="22"/>
          <w:szCs w:val="22"/>
          <w:lang w:val="fr-FR"/>
        </w:rPr>
      </w:pPr>
    </w:p>
    <w:p w14:paraId="1EA6294B" w14:textId="77777777" w:rsidR="005C4924" w:rsidRDefault="005C4924" w:rsidP="00434F87">
      <w:pPr>
        <w:jc w:val="both"/>
        <w:rPr>
          <w:rFonts w:asciiTheme="minorHAnsi" w:hAnsiTheme="minorHAnsi" w:cstheme="minorHAnsi"/>
          <w:sz w:val="22"/>
          <w:szCs w:val="22"/>
          <w:lang w:val="fr-FR"/>
        </w:rPr>
      </w:pPr>
    </w:p>
    <w:p w14:paraId="678AEE25" w14:textId="77777777" w:rsidR="005C4924" w:rsidRDefault="005C4924" w:rsidP="00434F87">
      <w:pPr>
        <w:jc w:val="both"/>
        <w:rPr>
          <w:rFonts w:asciiTheme="minorHAnsi" w:hAnsiTheme="minorHAnsi" w:cstheme="minorHAnsi"/>
          <w:sz w:val="22"/>
          <w:szCs w:val="22"/>
          <w:lang w:val="fr-FR"/>
        </w:rPr>
      </w:pPr>
    </w:p>
    <w:p w14:paraId="57DF01B8" w14:textId="77777777" w:rsidR="005C4924" w:rsidRDefault="005C4924" w:rsidP="005C4924">
      <w:pPr>
        <w:jc w:val="center"/>
        <w:rPr>
          <w:rFonts w:asciiTheme="minorHAnsi" w:hAnsiTheme="minorHAnsi" w:cstheme="minorHAnsi"/>
          <w:sz w:val="22"/>
          <w:szCs w:val="22"/>
          <w:lang w:val="fr-FR"/>
        </w:rPr>
      </w:pPr>
      <w:r>
        <w:rPr>
          <w:rFonts w:asciiTheme="minorHAnsi" w:hAnsiTheme="minorHAnsi" w:cstheme="minorHAnsi"/>
          <w:sz w:val="22"/>
          <w:szCs w:val="22"/>
          <w:lang w:val="fr-FR"/>
        </w:rPr>
        <w:t>Angélique GILLES</w:t>
      </w:r>
      <w:r>
        <w:rPr>
          <w:rFonts w:asciiTheme="minorHAnsi" w:hAnsiTheme="minorHAnsi" w:cstheme="minorHAnsi"/>
          <w:sz w:val="22"/>
          <w:szCs w:val="22"/>
          <w:lang w:val="fr-FR"/>
        </w:rPr>
        <w:tab/>
      </w:r>
      <w:r>
        <w:rPr>
          <w:rFonts w:asciiTheme="minorHAnsi" w:hAnsiTheme="minorHAnsi" w:cstheme="minorHAnsi"/>
          <w:sz w:val="22"/>
          <w:szCs w:val="22"/>
          <w:lang w:val="fr-FR"/>
        </w:rPr>
        <w:tab/>
      </w:r>
      <w:r>
        <w:rPr>
          <w:rFonts w:asciiTheme="minorHAnsi" w:hAnsiTheme="minorHAnsi" w:cstheme="minorHAnsi"/>
          <w:sz w:val="22"/>
          <w:szCs w:val="22"/>
          <w:lang w:val="fr-FR"/>
        </w:rPr>
        <w:tab/>
      </w:r>
      <w:r>
        <w:rPr>
          <w:rFonts w:asciiTheme="minorHAnsi" w:hAnsiTheme="minorHAnsi" w:cstheme="minorHAnsi"/>
          <w:sz w:val="22"/>
          <w:szCs w:val="22"/>
          <w:lang w:val="fr-FR"/>
        </w:rPr>
        <w:tab/>
      </w:r>
      <w:r>
        <w:rPr>
          <w:rFonts w:asciiTheme="minorHAnsi" w:hAnsiTheme="minorHAnsi" w:cstheme="minorHAnsi"/>
          <w:sz w:val="22"/>
          <w:szCs w:val="22"/>
          <w:lang w:val="fr-FR"/>
        </w:rPr>
        <w:tab/>
        <w:t>Renaud GASON</w:t>
      </w:r>
    </w:p>
    <w:p w14:paraId="2151C87C" w14:textId="77777777" w:rsidR="005C4924" w:rsidRPr="00DC19BA" w:rsidRDefault="005C4924" w:rsidP="005C4924">
      <w:pPr>
        <w:jc w:val="center"/>
        <w:rPr>
          <w:rFonts w:asciiTheme="minorHAnsi" w:hAnsiTheme="minorHAnsi" w:cstheme="minorHAnsi"/>
          <w:snapToGrid w:val="0"/>
          <w:sz w:val="22"/>
          <w:szCs w:val="22"/>
          <w:lang w:eastAsia="fr-FR"/>
        </w:rPr>
      </w:pPr>
      <w:r>
        <w:rPr>
          <w:rFonts w:asciiTheme="minorHAnsi" w:hAnsiTheme="minorHAnsi" w:cstheme="minorHAnsi"/>
          <w:sz w:val="22"/>
          <w:szCs w:val="22"/>
          <w:lang w:val="fr-FR"/>
        </w:rPr>
        <w:t>Greffier chef de service</w:t>
      </w:r>
      <w:r>
        <w:rPr>
          <w:rFonts w:asciiTheme="minorHAnsi" w:hAnsiTheme="minorHAnsi" w:cstheme="minorHAnsi"/>
          <w:sz w:val="22"/>
          <w:szCs w:val="22"/>
          <w:lang w:val="fr-FR"/>
        </w:rPr>
        <w:tab/>
      </w:r>
      <w:r>
        <w:rPr>
          <w:rFonts w:asciiTheme="minorHAnsi" w:hAnsiTheme="minorHAnsi" w:cstheme="minorHAnsi"/>
          <w:sz w:val="22"/>
          <w:szCs w:val="22"/>
          <w:lang w:val="fr-FR"/>
        </w:rPr>
        <w:tab/>
      </w:r>
      <w:r>
        <w:rPr>
          <w:rFonts w:asciiTheme="minorHAnsi" w:hAnsiTheme="minorHAnsi" w:cstheme="minorHAnsi"/>
          <w:sz w:val="22"/>
          <w:szCs w:val="22"/>
          <w:lang w:val="fr-FR"/>
        </w:rPr>
        <w:tab/>
      </w:r>
      <w:r>
        <w:rPr>
          <w:rFonts w:asciiTheme="minorHAnsi" w:hAnsiTheme="minorHAnsi" w:cstheme="minorHAnsi"/>
          <w:sz w:val="22"/>
          <w:szCs w:val="22"/>
          <w:lang w:val="fr-FR"/>
        </w:rPr>
        <w:tab/>
      </w:r>
      <w:r>
        <w:rPr>
          <w:rFonts w:asciiTheme="minorHAnsi" w:hAnsiTheme="minorHAnsi" w:cstheme="minorHAnsi"/>
          <w:sz w:val="22"/>
          <w:szCs w:val="22"/>
          <w:lang w:val="fr-FR"/>
        </w:rPr>
        <w:tab/>
        <w:t>Président de division</w:t>
      </w:r>
    </w:p>
    <w:p w14:paraId="59851250" w14:textId="77777777" w:rsidR="00434F87" w:rsidRPr="00434F87" w:rsidRDefault="00434F87" w:rsidP="00434F87">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1732"/>
        <w:gridCol w:w="2055"/>
        <w:gridCol w:w="3122"/>
      </w:tblGrid>
      <w:tr w:rsidR="003C6EC9" w:rsidRPr="00434F87" w14:paraId="6B4CE7DD" w14:textId="77777777" w:rsidTr="003C6EC9">
        <w:tc>
          <w:tcPr>
            <w:tcW w:w="1402" w:type="pct"/>
            <w:hideMark/>
          </w:tcPr>
          <w:p w14:paraId="611C7C06" w14:textId="77777777" w:rsidR="003C6EC9" w:rsidRPr="00434F87" w:rsidRDefault="003C6EC9" w:rsidP="002611E9">
            <w:pPr>
              <w:jc w:val="center"/>
              <w:rPr>
                <w:rFonts w:asciiTheme="minorHAnsi" w:hAnsiTheme="minorHAnsi" w:cstheme="minorHAnsi"/>
                <w:snapToGrid w:val="0"/>
                <w:sz w:val="22"/>
                <w:szCs w:val="22"/>
                <w:lang w:eastAsia="fr-FR"/>
              </w:rPr>
            </w:pPr>
          </w:p>
        </w:tc>
        <w:tc>
          <w:tcPr>
            <w:tcW w:w="902" w:type="pct"/>
          </w:tcPr>
          <w:p w14:paraId="1CCEE0C7" w14:textId="77777777" w:rsidR="003C6EC9" w:rsidRPr="00434F87" w:rsidRDefault="003C6EC9" w:rsidP="002611E9">
            <w:pPr>
              <w:jc w:val="center"/>
              <w:rPr>
                <w:rFonts w:asciiTheme="minorHAnsi" w:hAnsiTheme="minorHAnsi" w:cstheme="minorHAnsi"/>
                <w:snapToGrid w:val="0"/>
                <w:sz w:val="22"/>
                <w:szCs w:val="22"/>
                <w:lang w:eastAsia="fr-FR"/>
              </w:rPr>
            </w:pPr>
          </w:p>
        </w:tc>
        <w:tc>
          <w:tcPr>
            <w:tcW w:w="1070" w:type="pct"/>
          </w:tcPr>
          <w:p w14:paraId="4791E9AA" w14:textId="77777777" w:rsidR="003C6EC9" w:rsidRPr="00434F87" w:rsidRDefault="003C6EC9" w:rsidP="002611E9">
            <w:pPr>
              <w:rPr>
                <w:rFonts w:asciiTheme="minorHAnsi" w:hAnsiTheme="minorHAnsi" w:cstheme="minorHAnsi"/>
                <w:snapToGrid w:val="0"/>
                <w:sz w:val="22"/>
                <w:szCs w:val="22"/>
                <w:lang w:eastAsia="fr-FR"/>
              </w:rPr>
            </w:pPr>
          </w:p>
        </w:tc>
        <w:tc>
          <w:tcPr>
            <w:tcW w:w="1626" w:type="pct"/>
          </w:tcPr>
          <w:p w14:paraId="43BE0183" w14:textId="77777777" w:rsidR="003C6EC9" w:rsidRPr="00434F87" w:rsidRDefault="003C6EC9" w:rsidP="002611E9">
            <w:pPr>
              <w:jc w:val="center"/>
              <w:rPr>
                <w:rFonts w:asciiTheme="minorHAnsi" w:hAnsiTheme="minorHAnsi" w:cstheme="minorHAnsi"/>
                <w:snapToGrid w:val="0"/>
                <w:sz w:val="22"/>
                <w:szCs w:val="22"/>
                <w:lang w:eastAsia="fr-FR"/>
              </w:rPr>
            </w:pPr>
          </w:p>
        </w:tc>
      </w:tr>
    </w:tbl>
    <w:p w14:paraId="0067EAFF" w14:textId="77777777" w:rsidR="00434F87" w:rsidRPr="00434F87" w:rsidRDefault="00434F87" w:rsidP="00434F87">
      <w:pPr>
        <w:jc w:val="both"/>
        <w:rPr>
          <w:sz w:val="22"/>
          <w:szCs w:val="22"/>
        </w:rPr>
      </w:pPr>
    </w:p>
    <w:p w14:paraId="2DAEE6B8" w14:textId="77777777" w:rsidR="00072F3B" w:rsidRPr="00193F79" w:rsidRDefault="00072F3B" w:rsidP="00434F87">
      <w:pPr>
        <w:pStyle w:val="Textebrut"/>
        <w:rPr>
          <w:rFonts w:asciiTheme="minorHAnsi" w:hAnsiTheme="minorHAnsi" w:cstheme="minorHAnsi"/>
          <w:sz w:val="24"/>
          <w:szCs w:val="24"/>
        </w:rPr>
      </w:pPr>
    </w:p>
    <w:sectPr w:rsidR="00072F3B" w:rsidRPr="00193F79" w:rsidSect="007F51A0">
      <w:headerReference w:type="default" r:id="rId9"/>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541E" w14:textId="77777777" w:rsidR="00DC19BA" w:rsidRDefault="00DC19BA">
      <w:r>
        <w:separator/>
      </w:r>
    </w:p>
  </w:endnote>
  <w:endnote w:type="continuationSeparator" w:id="0">
    <w:p w14:paraId="48952D6A" w14:textId="77777777" w:rsidR="00DC19BA" w:rsidRDefault="00DC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D8BC" w14:textId="77777777" w:rsidR="00DC19BA" w:rsidRDefault="00DC19BA">
      <w:r>
        <w:separator/>
      </w:r>
    </w:p>
  </w:footnote>
  <w:footnote w:type="continuationSeparator" w:id="0">
    <w:p w14:paraId="12E12D99" w14:textId="77777777" w:rsidR="00DC19BA" w:rsidRDefault="00DC19BA">
      <w:r>
        <w:continuationSeparator/>
      </w:r>
    </w:p>
  </w:footnote>
  <w:footnote w:id="1">
    <w:p w14:paraId="5D0731C3" w14:textId="77777777" w:rsidR="006D1E03" w:rsidRPr="00EE0DE9" w:rsidRDefault="006D1E03" w:rsidP="006D1E03">
      <w:pPr>
        <w:pStyle w:val="Notedebasdepage1"/>
      </w:pPr>
      <w:r>
        <w:rPr>
          <w:rStyle w:val="Appelnotedebasdep"/>
        </w:rPr>
        <w:footnoteRef/>
      </w:r>
      <w:r w:rsidRPr="00EE0DE9">
        <w:t xml:space="preserve"> </w:t>
      </w:r>
      <w:r>
        <w:t xml:space="preserve">D’où la compétence matérielle des juridictions sociales. </w:t>
      </w:r>
    </w:p>
  </w:footnote>
  <w:footnote w:id="2">
    <w:p w14:paraId="780CED9D" w14:textId="77777777" w:rsidR="006D1E03" w:rsidRPr="006C125A" w:rsidRDefault="006D1E03" w:rsidP="006D1E03">
      <w:pPr>
        <w:pStyle w:val="Notedebasdepage1"/>
      </w:pPr>
      <w:r>
        <w:rPr>
          <w:rStyle w:val="Appelnotedebasdep"/>
        </w:rPr>
        <w:footnoteRef/>
      </w:r>
      <w:r w:rsidRPr="006C125A">
        <w:t xml:space="preserve"> </w:t>
      </w:r>
      <w:r>
        <w:t xml:space="preserve">Pour prendre un parallèle évident, quel Tribunal clôturerait les débats dans un dossier d’aide sociale concernant un CPAS, sans que le rapport sociale ne soit déposé par ce dernier ?   </w:t>
      </w:r>
    </w:p>
  </w:footnote>
  <w:footnote w:id="3">
    <w:p w14:paraId="23048FD5" w14:textId="77777777" w:rsidR="006D1E03" w:rsidRPr="006C125A" w:rsidRDefault="006D1E03" w:rsidP="006D1E03">
      <w:pPr>
        <w:pStyle w:val="Notedebasdepage1"/>
      </w:pPr>
      <w:r>
        <w:rPr>
          <w:rStyle w:val="Appelnotedebasdep"/>
        </w:rPr>
        <w:footnoteRef/>
      </w:r>
      <w:r w:rsidRPr="006C125A">
        <w:t xml:space="preserve"> </w:t>
      </w:r>
      <w:r>
        <w:t>Cf. article 36 de la loi accueil.</w:t>
      </w:r>
    </w:p>
  </w:footnote>
  <w:footnote w:id="4">
    <w:p w14:paraId="010E9229" w14:textId="77777777" w:rsidR="006D1E03" w:rsidRPr="00772A5C" w:rsidRDefault="006D1E03" w:rsidP="006D1E03">
      <w:pPr>
        <w:pStyle w:val="Notedebasdepage1"/>
      </w:pPr>
      <w:r>
        <w:rPr>
          <w:rStyle w:val="Appelnotedebasdep"/>
        </w:rPr>
        <w:footnoteRef/>
      </w:r>
      <w:r w:rsidRPr="00772A5C">
        <w:t xml:space="preserve"> </w:t>
      </w:r>
      <w:r>
        <w:t>Ex. TT Lg, div Nam, 7</w:t>
      </w:r>
      <w:r w:rsidRPr="00772A5C">
        <w:rPr>
          <w:vertAlign w:val="superscript"/>
        </w:rPr>
        <w:t>ème</w:t>
      </w:r>
      <w:r>
        <w:t xml:space="preserve"> </w:t>
      </w:r>
      <w:r>
        <w:t>Ch, 28.01.2022, RG 21/842/A</w:t>
      </w:r>
    </w:p>
  </w:footnote>
  <w:footnote w:id="5">
    <w:p w14:paraId="2709CFB7" w14:textId="77777777" w:rsidR="006D1E03" w:rsidRPr="00786AFE" w:rsidRDefault="006D1E03" w:rsidP="006D1E03">
      <w:pPr>
        <w:pStyle w:val="Notedebasdepage1"/>
      </w:pPr>
      <w:r>
        <w:rPr>
          <w:rStyle w:val="Appelnotedebasdep"/>
        </w:rPr>
        <w:footnoteRef/>
      </w:r>
      <w:r>
        <w:t xml:space="preserve"> Ex. disponibilité téléphonique.</w:t>
      </w:r>
    </w:p>
  </w:footnote>
  <w:footnote w:id="6">
    <w:p w14:paraId="3E726863" w14:textId="77777777" w:rsidR="006D1E03" w:rsidRPr="00F750D9" w:rsidRDefault="006D1E03" w:rsidP="006D1E03">
      <w:pPr>
        <w:pStyle w:val="Notedebasdepage1"/>
      </w:pPr>
      <w:r>
        <w:rPr>
          <w:rStyle w:val="Appelnotedebasdep"/>
        </w:rPr>
        <w:footnoteRef/>
      </w:r>
      <w:r w:rsidRPr="00F750D9">
        <w:t xml:space="preserve"> </w:t>
      </w:r>
      <w:r>
        <w:t>Sauf erreur ou omission.</w:t>
      </w:r>
    </w:p>
  </w:footnote>
  <w:footnote w:id="7">
    <w:p w14:paraId="461B7931" w14:textId="77777777" w:rsidR="006D1E03" w:rsidRPr="00A16F9A" w:rsidRDefault="006D1E03" w:rsidP="006D1E03">
      <w:pPr>
        <w:pStyle w:val="Notedebasdepage1"/>
      </w:pPr>
      <w:r>
        <w:rPr>
          <w:rStyle w:val="Appelnotedebasdep"/>
        </w:rPr>
        <w:footnoteRef/>
      </w:r>
      <w:r w:rsidRPr="00A16F9A">
        <w:t xml:space="preserve"> </w:t>
      </w:r>
      <w:r>
        <w:t>Ex. la délicate question du respect du domicile.</w:t>
      </w:r>
    </w:p>
  </w:footnote>
  <w:footnote w:id="8">
    <w:p w14:paraId="27051914" w14:textId="77777777" w:rsidR="006D1E03" w:rsidRPr="00A16F9A" w:rsidRDefault="006D1E03" w:rsidP="006D1E03">
      <w:pPr>
        <w:pStyle w:val="Notedebasdepage1"/>
      </w:pPr>
      <w:r>
        <w:rPr>
          <w:rStyle w:val="Appelnotedebasdep"/>
        </w:rPr>
        <w:footnoteRef/>
      </w:r>
      <w:r w:rsidRPr="00A16F9A">
        <w:t xml:space="preserve"> </w:t>
      </w:r>
      <w:r>
        <w:t>Passage de l’ordonnance dont recours.</w:t>
      </w:r>
    </w:p>
  </w:footnote>
  <w:footnote w:id="9">
    <w:p w14:paraId="099FEAA9" w14:textId="77777777" w:rsidR="006D1E03" w:rsidRPr="00B37568" w:rsidRDefault="006D1E03" w:rsidP="006D1E03">
      <w:pPr>
        <w:pStyle w:val="Notedebasdepage1"/>
      </w:pPr>
      <w:r>
        <w:rPr>
          <w:rStyle w:val="Appelnotedebasdep"/>
        </w:rPr>
        <w:footnoteRef/>
      </w:r>
      <w:r w:rsidRPr="00B37568">
        <w:t xml:space="preserve"> Guide pratique, prise en charge en place Dublin, 2021  , titre II, p. n°5</w:t>
      </w:r>
    </w:p>
  </w:footnote>
  <w:footnote w:id="10">
    <w:p w14:paraId="56FA196E" w14:textId="77777777" w:rsidR="006D1E03" w:rsidRPr="00F003F5" w:rsidRDefault="006D1E03" w:rsidP="006D1E03">
      <w:pPr>
        <w:pStyle w:val="Notedebasdepage1"/>
      </w:pPr>
      <w:r>
        <w:rPr>
          <w:rStyle w:val="Appelnotedebasdep"/>
        </w:rPr>
        <w:footnoteRef/>
      </w:r>
      <w:r w:rsidRPr="00F003F5">
        <w:t xml:space="preserve"> Voir « suspensif » ? </w:t>
      </w:r>
    </w:p>
  </w:footnote>
  <w:footnote w:id="11">
    <w:p w14:paraId="53AE681A" w14:textId="77777777" w:rsidR="006D1E03" w:rsidRPr="00F003F5" w:rsidRDefault="006D1E03" w:rsidP="006D1E03">
      <w:pPr>
        <w:pStyle w:val="Notedebasdepage1"/>
      </w:pPr>
      <w:r>
        <w:rPr>
          <w:rStyle w:val="Appelnotedebasdep"/>
        </w:rPr>
        <w:footnoteRef/>
      </w:r>
      <w:r w:rsidRPr="00F003F5">
        <w:t xml:space="preserve"> Le Tribunal souligne.</w:t>
      </w:r>
    </w:p>
  </w:footnote>
  <w:footnote w:id="12">
    <w:p w14:paraId="64DC90CC" w14:textId="77777777" w:rsidR="006D1E03" w:rsidRPr="00F003F5" w:rsidRDefault="006D1E03" w:rsidP="006D1E03">
      <w:pPr>
        <w:pStyle w:val="Notedebasdepage1"/>
      </w:pPr>
      <w:r>
        <w:rPr>
          <w:rStyle w:val="Appelnotedebasdep"/>
        </w:rPr>
        <w:footnoteRef/>
      </w:r>
      <w:r w:rsidRPr="00F003F5">
        <w:t xml:space="preserve"> FEDASIL peut naturellement documenter le Tribunal s’il a des statistiques intéressantes à fournir à cet égard. Le délai de 6 mois fait naturellement référence au délai utile pour la Belgique pour faire partir la partie demanderesse vers l’Etat compétant an application du règlement UE 604/2013.</w:t>
      </w:r>
    </w:p>
  </w:footnote>
  <w:footnote w:id="13">
    <w:p w14:paraId="7CABDCC3" w14:textId="77777777" w:rsidR="006D1E03" w:rsidRPr="00F003F5" w:rsidRDefault="006D1E03" w:rsidP="006D1E03">
      <w:pPr>
        <w:pStyle w:val="Notedebasdepage1"/>
      </w:pPr>
      <w:r>
        <w:rPr>
          <w:rStyle w:val="Appelnotedebasdep"/>
        </w:rPr>
        <w:footnoteRef/>
      </w:r>
      <w:r w:rsidRPr="00F003F5">
        <w:t xml:space="preserve"> C.E.D.H. , S.J. vs Belgique, 2014, C.E.D.H. V.M. vs Belgique 07.07.2015</w:t>
      </w:r>
    </w:p>
  </w:footnote>
  <w:footnote w:id="14">
    <w:p w14:paraId="6841324D" w14:textId="77777777" w:rsidR="006D1E03" w:rsidRPr="00F003F5" w:rsidRDefault="006D1E03" w:rsidP="006D1E03">
      <w:pPr>
        <w:pStyle w:val="Notedebasdepage1"/>
      </w:pPr>
      <w:r>
        <w:rPr>
          <w:rStyle w:val="Appelnotedebasdep"/>
        </w:rPr>
        <w:footnoteRef/>
      </w:r>
      <w:r w:rsidRPr="00F003F5">
        <w:t xml:space="preserve"> Idem « 2 », n°81</w:t>
      </w:r>
    </w:p>
  </w:footnote>
  <w:footnote w:id="15">
    <w:p w14:paraId="2833B1C7" w14:textId="77777777" w:rsidR="006D1E03" w:rsidRPr="00F003F5" w:rsidRDefault="006D1E03" w:rsidP="006D1E03">
      <w:pPr>
        <w:pStyle w:val="Notedebasdepage1"/>
      </w:pPr>
      <w:r>
        <w:rPr>
          <w:rStyle w:val="Appelnotedebasdep"/>
        </w:rPr>
        <w:footnoteRef/>
      </w:r>
      <w:r w:rsidRPr="00F003F5">
        <w:t xml:space="preserve"> C.E.D.H. </w:t>
      </w:r>
      <w:r w:rsidRPr="00F003F5">
        <w:t>Conka vs Belgique (2002).</w:t>
      </w:r>
    </w:p>
  </w:footnote>
  <w:footnote w:id="16">
    <w:p w14:paraId="6237F828" w14:textId="77777777" w:rsidR="006D1E03" w:rsidRDefault="006D1E03" w:rsidP="006D1E03">
      <w:pPr>
        <w:pStyle w:val="Notedebasdepage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DC19BA" w:rsidRPr="00E92C6E" w14:paraId="0251D069" w14:textId="77777777">
      <w:tc>
        <w:tcPr>
          <w:tcW w:w="3200" w:type="dxa"/>
          <w:tcMar>
            <w:top w:w="55" w:type="dxa"/>
            <w:left w:w="55" w:type="dxa"/>
            <w:bottom w:w="55" w:type="dxa"/>
            <w:right w:w="55" w:type="dxa"/>
          </w:tcMar>
        </w:tcPr>
        <w:p w14:paraId="6AB4CA09" w14:textId="77777777" w:rsidR="00DC19BA" w:rsidRPr="00E92C6E" w:rsidRDefault="00DC19BA">
          <w:pPr>
            <w:pStyle w:val="En-tte"/>
            <w:rPr>
              <w:rFonts w:asciiTheme="minorHAnsi" w:hAnsiTheme="minorHAnsi" w:cstheme="minorHAnsi"/>
              <w:b/>
              <w:bCs/>
              <w:sz w:val="22"/>
              <w:szCs w:val="22"/>
              <w:lang w:val="nl-BE"/>
            </w:rPr>
          </w:pPr>
          <w:r>
            <w:rPr>
              <w:rFonts w:asciiTheme="minorHAnsi" w:hAnsiTheme="minorHAnsi" w:cstheme="minorHAnsi"/>
              <w:b/>
              <w:bCs/>
              <w:sz w:val="22"/>
              <w:szCs w:val="22"/>
              <w:lang w:val="nl-BE"/>
            </w:rPr>
            <w:t>R.G. : 22/2/</w:t>
          </w:r>
          <w:r w:rsidRPr="00E92C6E">
            <w:rPr>
              <w:rFonts w:asciiTheme="minorHAnsi" w:hAnsiTheme="minorHAnsi" w:cstheme="minorHAnsi"/>
              <w:b/>
              <w:bCs/>
              <w:sz w:val="22"/>
              <w:szCs w:val="22"/>
              <w:lang w:val="nl-BE"/>
            </w:rPr>
            <w:t>C</w:t>
          </w:r>
        </w:p>
      </w:tc>
      <w:tc>
        <w:tcPr>
          <w:tcW w:w="3200" w:type="dxa"/>
          <w:tcMar>
            <w:top w:w="55" w:type="dxa"/>
            <w:left w:w="55" w:type="dxa"/>
            <w:bottom w:w="55" w:type="dxa"/>
            <w:right w:w="55" w:type="dxa"/>
          </w:tcMar>
        </w:tcPr>
        <w:p w14:paraId="34B7B5A1" w14:textId="77777777" w:rsidR="00DC19BA" w:rsidRPr="00E92C6E" w:rsidRDefault="00DC19BA">
          <w:pPr>
            <w:pStyle w:val="TableContent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2F6586">
            <w:rPr>
              <w:rFonts w:asciiTheme="minorHAnsi" w:hAnsiTheme="minorHAnsi" w:cstheme="minorHAnsi"/>
              <w:b/>
              <w:bCs/>
              <w:noProof/>
              <w:sz w:val="22"/>
              <w:szCs w:val="22"/>
            </w:rPr>
            <w:t>9</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06BFACB8" w14:textId="77777777" w:rsidR="00DC19BA" w:rsidRPr="00E92C6E" w:rsidRDefault="00DC19BA" w:rsidP="00E92C6E">
          <w:pPr>
            <w:pStyle w:val="TableContents"/>
            <w:tabs>
              <w:tab w:val="left" w:pos="1492"/>
            </w:tabs>
            <w:jc w:val="center"/>
            <w:rPr>
              <w:rFonts w:asciiTheme="minorHAnsi" w:hAnsiTheme="minorHAnsi" w:cstheme="minorHAnsi"/>
              <w:b/>
              <w:bCs/>
              <w:sz w:val="22"/>
              <w:szCs w:val="22"/>
            </w:rPr>
          </w:pPr>
          <w:proofErr w:type="spellStart"/>
          <w:r w:rsidRPr="00E92C6E">
            <w:rPr>
              <w:rFonts w:asciiTheme="minorHAnsi" w:hAnsiTheme="minorHAnsi" w:cstheme="minorHAnsi"/>
              <w:b/>
              <w:bCs/>
              <w:sz w:val="22"/>
              <w:szCs w:val="22"/>
            </w:rPr>
            <w:t>Rép</w:t>
          </w:r>
          <w:proofErr w:type="spellEnd"/>
          <w:r w:rsidRPr="00E92C6E">
            <w:rPr>
              <w:rFonts w:asciiTheme="minorHAnsi" w:hAnsiTheme="minorHAnsi" w:cstheme="minorHAnsi"/>
              <w:b/>
              <w:bCs/>
              <w:sz w:val="22"/>
              <w:szCs w:val="22"/>
            </w:rPr>
            <w:t xml:space="preserve">.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3052F2">
            <w:rPr>
              <w:rFonts w:asciiTheme="minorHAnsi" w:hAnsiTheme="minorHAnsi" w:cstheme="minorHAnsi"/>
              <w:b/>
              <w:bCs/>
              <w:noProof/>
              <w:color w:val="010101"/>
              <w:sz w:val="22"/>
              <w:szCs w:val="22"/>
            </w:rPr>
            <w:t>2022</w:t>
          </w:r>
          <w:r w:rsidRPr="00E92C6E">
            <w:rPr>
              <w:rFonts w:asciiTheme="minorHAnsi" w:hAnsiTheme="minorHAnsi" w:cstheme="minorHAnsi"/>
              <w:b/>
              <w:bCs/>
              <w:color w:val="010101"/>
              <w:sz w:val="22"/>
              <w:szCs w:val="22"/>
            </w:rPr>
            <w:fldChar w:fldCharType="end"/>
          </w:r>
          <w:r w:rsidRPr="00E92C6E">
            <w:rPr>
              <w:rFonts w:asciiTheme="minorHAnsi" w:hAnsiTheme="minorHAnsi" w:cstheme="minorHAnsi"/>
              <w:b/>
              <w:bCs/>
              <w:color w:val="010101"/>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FILLIN "Texte11" </w:instrText>
          </w:r>
          <w:r w:rsidRPr="00E92C6E">
            <w:rPr>
              <w:rFonts w:asciiTheme="minorHAnsi" w:hAnsiTheme="minorHAnsi" w:cstheme="minorHAnsi"/>
              <w:b/>
              <w:bCs/>
              <w:sz w:val="22"/>
              <w:szCs w:val="22"/>
            </w:rPr>
            <w:fldChar w:fldCharType="separate"/>
          </w:r>
          <w:r w:rsidR="00697CA5">
            <w:rPr>
              <w:rFonts w:asciiTheme="minorHAnsi" w:hAnsiTheme="minorHAnsi" w:cstheme="minorHAnsi"/>
              <w:b/>
              <w:bCs/>
              <w:sz w:val="22"/>
              <w:szCs w:val="22"/>
            </w:rPr>
            <w:t>     </w:t>
          </w:r>
          <w:r w:rsidRPr="00E92C6E">
            <w:rPr>
              <w:rFonts w:asciiTheme="minorHAnsi" w:hAnsiTheme="minorHAnsi" w:cstheme="minorHAnsi"/>
              <w:b/>
              <w:bCs/>
              <w:sz w:val="22"/>
              <w:szCs w:val="22"/>
            </w:rPr>
            <w:fldChar w:fldCharType="end"/>
          </w:r>
        </w:p>
      </w:tc>
    </w:tr>
  </w:tbl>
  <w:p w14:paraId="17B4FD27" w14:textId="77777777" w:rsidR="00DC19BA" w:rsidRPr="00193F79" w:rsidRDefault="00DC19BA">
    <w:pPr>
      <w:pStyle w:val="En-tte"/>
      <w:pBdr>
        <w:bottom w:val="single" w:sz="6" w:space="1" w:color="auto"/>
      </w:pBdr>
      <w:rPr>
        <w:rFonts w:asciiTheme="minorHAnsi" w:hAnsiTheme="minorHAnsi"/>
        <w:sz w:val="22"/>
        <w:szCs w:val="22"/>
      </w:rPr>
    </w:pPr>
  </w:p>
  <w:p w14:paraId="15606CB5" w14:textId="77777777" w:rsidR="00DC19BA" w:rsidRPr="00193F79" w:rsidRDefault="00DC19BA">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2A"/>
    <w:multiLevelType w:val="hybridMultilevel"/>
    <w:tmpl w:val="4E4C449E"/>
    <w:lvl w:ilvl="0" w:tplc="26E44E1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24498"/>
    <w:multiLevelType w:val="hybridMultilevel"/>
    <w:tmpl w:val="D0504A1C"/>
    <w:lvl w:ilvl="0" w:tplc="40DC8B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BAA42AA"/>
    <w:multiLevelType w:val="hybridMultilevel"/>
    <w:tmpl w:val="56D80764"/>
    <w:lvl w:ilvl="0" w:tplc="92C05D62">
      <w:start w:val="1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CCDE52C-F026-4B32-9D6B-62531074C455}"/>
    <w:docVar w:name="dgnword-eventsink" w:val="346868368"/>
  </w:docVars>
  <w:rsids>
    <w:rsidRoot w:val="003B3F57"/>
    <w:rsid w:val="00072F3B"/>
    <w:rsid w:val="00193F79"/>
    <w:rsid w:val="00236C5A"/>
    <w:rsid w:val="002611E9"/>
    <w:rsid w:val="002D2304"/>
    <w:rsid w:val="002E7D18"/>
    <w:rsid w:val="002F6586"/>
    <w:rsid w:val="003052F2"/>
    <w:rsid w:val="003A7C48"/>
    <w:rsid w:val="003B3F57"/>
    <w:rsid w:val="003C6EC9"/>
    <w:rsid w:val="00434F87"/>
    <w:rsid w:val="005A0D0F"/>
    <w:rsid w:val="005A4C7D"/>
    <w:rsid w:val="005C4924"/>
    <w:rsid w:val="00605DEA"/>
    <w:rsid w:val="00697CA5"/>
    <w:rsid w:val="006D1E03"/>
    <w:rsid w:val="007C2EC0"/>
    <w:rsid w:val="007F51A0"/>
    <w:rsid w:val="00915469"/>
    <w:rsid w:val="009E663F"/>
    <w:rsid w:val="00AD725C"/>
    <w:rsid w:val="00B56630"/>
    <w:rsid w:val="00B9207E"/>
    <w:rsid w:val="00C04F9E"/>
    <w:rsid w:val="00C253D0"/>
    <w:rsid w:val="00CB581E"/>
    <w:rsid w:val="00D00DED"/>
    <w:rsid w:val="00DC19BA"/>
    <w:rsid w:val="00DC6236"/>
    <w:rsid w:val="00E92C6E"/>
    <w:rsid w:val="00F22E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0D96A1"/>
  <w15:docId w15:val="{F3F23558-89AF-4F30-BD9C-E16633C3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5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paragraph" w:styleId="Titre1">
    <w:name w:val="heading 1"/>
    <w:basedOn w:val="Normal"/>
    <w:next w:val="Normal"/>
    <w:link w:val="Titre1Car"/>
    <w:qFormat/>
    <w:rsid w:val="007F51A0"/>
    <w:pPr>
      <w:keepNext/>
      <w:widowControl/>
      <w:suppressAutoHyphens w:val="0"/>
      <w:autoSpaceDN/>
      <w:jc w:val="center"/>
      <w:textAlignment w:val="auto"/>
      <w:outlineLvl w:val="0"/>
    </w:pPr>
    <w:rPr>
      <w:rFonts w:ascii="Courier 10cpi" w:eastAsia="Times New Roman" w:hAnsi="Courier 10cpi" w:cs="Times New Roman"/>
      <w:b/>
      <w:kern w:val="0"/>
      <w:szCs w:val="20"/>
      <w:u w:val="single"/>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rsid w:val="003B3F57"/>
    <w:pPr>
      <w:suppressLineNumbers/>
      <w:tabs>
        <w:tab w:val="center" w:pos="4818"/>
        <w:tab w:val="right" w:pos="9637"/>
      </w:tabs>
    </w:pPr>
  </w:style>
  <w:style w:type="character" w:customStyle="1" w:styleId="En-tteCar">
    <w:name w:val="En-tête Car"/>
    <w:basedOn w:val="Policepardfaut"/>
    <w:link w:val="En-tte"/>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customStyle="1" w:styleId="Standard">
    <w:name w:val="Standard"/>
    <w:rsid w:val="00F22EF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bidi="fr-BE"/>
    </w:rPr>
  </w:style>
  <w:style w:type="table" w:styleId="Grilledutableau">
    <w:name w:val="Table Grid"/>
    <w:basedOn w:val="TableauNormal"/>
    <w:uiPriority w:val="59"/>
    <w:rsid w:val="0019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7F51A0"/>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rsid w:val="007F51A0"/>
    <w:rPr>
      <w:rFonts w:ascii="Tms Rmn" w:eastAsia="Times New Roman" w:hAnsi="Tms Rmn" w:cs="Times New Roman"/>
      <w:sz w:val="20"/>
      <w:szCs w:val="20"/>
      <w:lang w:val="fr-FR"/>
    </w:rPr>
  </w:style>
  <w:style w:type="paragraph" w:customStyle="1" w:styleId="Arreststandaard">
    <w:name w:val="Arrest standaard"/>
    <w:basedOn w:val="Normal"/>
    <w:uiPriority w:val="99"/>
    <w:rsid w:val="007F51A0"/>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character" w:customStyle="1" w:styleId="Titre1Car">
    <w:name w:val="Titre 1 Car"/>
    <w:basedOn w:val="Policepardfaut"/>
    <w:link w:val="Titre1"/>
    <w:rsid w:val="007F51A0"/>
    <w:rPr>
      <w:rFonts w:ascii="Courier 10cpi" w:eastAsia="Times New Roman" w:hAnsi="Courier 10cpi" w:cs="Times New Roman"/>
      <w:b/>
      <w:sz w:val="24"/>
      <w:szCs w:val="20"/>
      <w:u w:val="single"/>
      <w:lang w:val="fr-FR"/>
    </w:rPr>
  </w:style>
  <w:style w:type="character" w:styleId="Textedelespacerserv">
    <w:name w:val="Placeholder Text"/>
    <w:basedOn w:val="Policepardfaut"/>
    <w:uiPriority w:val="99"/>
    <w:semiHidden/>
    <w:rsid w:val="007F51A0"/>
    <w:rPr>
      <w:color w:val="808080"/>
    </w:rPr>
  </w:style>
  <w:style w:type="paragraph" w:styleId="Paragraphedeliste">
    <w:name w:val="List Paragraph"/>
    <w:basedOn w:val="Normal"/>
    <w:uiPriority w:val="34"/>
    <w:qFormat/>
    <w:rsid w:val="002611E9"/>
    <w:pPr>
      <w:ind w:left="720"/>
      <w:contextualSpacing/>
      <w:textAlignment w:val="auto"/>
    </w:pPr>
  </w:style>
  <w:style w:type="paragraph" w:customStyle="1" w:styleId="Notedebasdepage1">
    <w:name w:val="Note de bas de page1"/>
    <w:basedOn w:val="Normal"/>
    <w:next w:val="Notedebasdepage"/>
    <w:link w:val="NotedebasdepageCar"/>
    <w:uiPriority w:val="99"/>
    <w:semiHidden/>
    <w:unhideWhenUsed/>
    <w:rsid w:val="006D1E03"/>
    <w:pPr>
      <w:widowControl/>
      <w:suppressAutoHyphens w:val="0"/>
      <w:autoSpaceDN/>
      <w:textAlignment w:val="auto"/>
    </w:pPr>
    <w:rPr>
      <w:rFonts w:asciiTheme="minorHAnsi" w:eastAsiaTheme="minorHAnsi" w:hAnsiTheme="minorHAnsi" w:cstheme="minorBidi"/>
      <w:kern w:val="0"/>
      <w:sz w:val="20"/>
      <w:szCs w:val="20"/>
      <w:lang w:eastAsia="en-US"/>
    </w:rPr>
  </w:style>
  <w:style w:type="character" w:customStyle="1" w:styleId="NotedebasdepageCar">
    <w:name w:val="Note de bas de page Car"/>
    <w:basedOn w:val="Policepardfaut"/>
    <w:link w:val="Notedebasdepage1"/>
    <w:uiPriority w:val="99"/>
    <w:semiHidden/>
    <w:rsid w:val="006D1E03"/>
    <w:rPr>
      <w:sz w:val="20"/>
      <w:szCs w:val="20"/>
    </w:rPr>
  </w:style>
  <w:style w:type="character" w:styleId="Appelnotedebasdep">
    <w:name w:val="footnote reference"/>
    <w:basedOn w:val="Policepardfaut"/>
    <w:uiPriority w:val="99"/>
    <w:semiHidden/>
    <w:unhideWhenUsed/>
    <w:rsid w:val="006D1E03"/>
    <w:rPr>
      <w:vertAlign w:val="superscript"/>
    </w:rPr>
  </w:style>
  <w:style w:type="paragraph" w:styleId="Notedebasdepage">
    <w:name w:val="footnote text"/>
    <w:basedOn w:val="Normal"/>
    <w:link w:val="NotedebasdepageCar1"/>
    <w:uiPriority w:val="99"/>
    <w:semiHidden/>
    <w:unhideWhenUsed/>
    <w:rsid w:val="006D1E03"/>
    <w:rPr>
      <w:sz w:val="20"/>
      <w:szCs w:val="20"/>
    </w:rPr>
  </w:style>
  <w:style w:type="character" w:customStyle="1" w:styleId="NotedebasdepageCar1">
    <w:name w:val="Note de bas de page Car1"/>
    <w:basedOn w:val="Policepardfaut"/>
    <w:link w:val="Notedebasdepage"/>
    <w:uiPriority w:val="99"/>
    <w:semiHidden/>
    <w:rsid w:val="006D1E03"/>
    <w:rPr>
      <w:rFonts w:ascii="Times New Roman" w:eastAsia="Lucida Sans Unicode" w:hAnsi="Times New Roman" w:cs="Tahoma"/>
      <w:kern w:val="3"/>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énéral"/>
          <w:gallery w:val="placeholder"/>
        </w:category>
        <w:types>
          <w:type w:val="bbPlcHdr"/>
        </w:types>
        <w:behaviors>
          <w:behavior w:val="content"/>
        </w:behaviors>
        <w:guid w:val="{874B5E65-6B35-48F4-A761-26D3D88F39EE}"/>
      </w:docPartPr>
      <w:docPartBody>
        <w:p w:rsidR="006A02EA" w:rsidRDefault="006A02EA">
          <w:r w:rsidRPr="00312E47">
            <w:rPr>
              <w:rStyle w:val="Textedelespacerserv"/>
            </w:rPr>
            <w:t>Choisissez un élément.</w:t>
          </w:r>
        </w:p>
      </w:docPartBody>
    </w:docPart>
    <w:docPart>
      <w:docPartPr>
        <w:name w:val="FF812B2D46764D6AABB34832EC682AE6"/>
        <w:category>
          <w:name w:val="Général"/>
          <w:gallery w:val="placeholder"/>
        </w:category>
        <w:types>
          <w:type w:val="bbPlcHdr"/>
        </w:types>
        <w:behaviors>
          <w:behavior w:val="content"/>
        </w:behaviors>
        <w:guid w:val="{E93D0758-4902-4772-8BED-B8FF175B9482}"/>
      </w:docPartPr>
      <w:docPartBody>
        <w:p w:rsidR="006A02EA" w:rsidRDefault="006A02EA" w:rsidP="006A02EA">
          <w:pPr>
            <w:pStyle w:val="FF812B2D46764D6AABB34832EC682AE6"/>
          </w:pPr>
          <w:r w:rsidRPr="00312E4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BF"/>
    <w:rsid w:val="00130DBF"/>
    <w:rsid w:val="006A02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EA"/>
    <w:rPr>
      <w:color w:val="808080"/>
    </w:rPr>
  </w:style>
  <w:style w:type="paragraph" w:customStyle="1" w:styleId="FF812B2D46764D6AABB34832EC682AE6">
    <w:name w:val="FF812B2D46764D6AABB34832EC682AE6"/>
    <w:rsid w:val="006A0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CAD2-9E01-469D-B518-8E8A78E1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3193</Words>
  <Characters>17566</Characters>
  <Application>Microsoft Office Word</Application>
  <DocSecurity>4</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Dumont Michel</dc:creator>
  <cp:lastModifiedBy>Maréchal Denis</cp:lastModifiedBy>
  <cp:revision>2</cp:revision>
  <cp:lastPrinted>2022-09-09T14:21:00Z</cp:lastPrinted>
  <dcterms:created xsi:type="dcterms:W3CDTF">2022-09-14T08:22:00Z</dcterms:created>
  <dcterms:modified xsi:type="dcterms:W3CDTF">2022-09-14T08:22:00Z</dcterms:modified>
</cp:coreProperties>
</file>