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BCE5"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28FAA7CF" wp14:editId="33046CF8">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C6963EC" w14:textId="77777777" w:rsidR="002E13EE" w:rsidRDefault="002E13EE" w:rsidP="002D50E6">
      <w:pPr>
        <w:pStyle w:val="Textebrut"/>
        <w:rPr>
          <w:rFonts w:asciiTheme="minorHAnsi" w:hAnsiTheme="minorHAnsi" w:cstheme="minorHAnsi"/>
          <w:b/>
          <w:sz w:val="32"/>
          <w:szCs w:val="32"/>
          <w:u w:val="single"/>
        </w:rPr>
      </w:pPr>
    </w:p>
    <w:p w14:paraId="522B408E" w14:textId="77777777" w:rsidR="002E13EE" w:rsidRDefault="002E13EE" w:rsidP="002D50E6">
      <w:pPr>
        <w:pStyle w:val="Textebrut"/>
        <w:rPr>
          <w:rFonts w:asciiTheme="minorHAnsi" w:hAnsiTheme="minorHAnsi" w:cstheme="minorHAnsi"/>
          <w:b/>
          <w:sz w:val="32"/>
          <w:szCs w:val="32"/>
          <w:u w:val="single"/>
        </w:rPr>
      </w:pPr>
    </w:p>
    <w:p w14:paraId="60587009" w14:textId="77777777" w:rsidR="002E13EE" w:rsidRDefault="002E13EE" w:rsidP="002D50E6">
      <w:pPr>
        <w:pStyle w:val="Textebrut"/>
        <w:rPr>
          <w:rFonts w:asciiTheme="minorHAnsi" w:hAnsiTheme="minorHAnsi" w:cstheme="minorHAnsi"/>
          <w:b/>
          <w:sz w:val="32"/>
          <w:szCs w:val="32"/>
          <w:u w:val="single"/>
        </w:rPr>
      </w:pPr>
    </w:p>
    <w:p w14:paraId="3BCEEB0D"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1E0C7A03"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0C1C2D23"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2FFC6245" w14:textId="77777777" w:rsidR="002D50E6" w:rsidRPr="0097037A" w:rsidRDefault="002D50E6" w:rsidP="00E90939">
            <w:pPr>
              <w:ind w:right="252"/>
              <w:rPr>
                <w:rFonts w:ascii="Calibri" w:hAnsi="Calibri"/>
                <w:sz w:val="16"/>
                <w:szCs w:val="16"/>
              </w:rPr>
            </w:pPr>
          </w:p>
          <w:p w14:paraId="0052C0A5" w14:textId="77777777" w:rsidR="002D50E6" w:rsidRPr="0097037A" w:rsidRDefault="008B0CD0" w:rsidP="00E90939">
            <w:pPr>
              <w:rPr>
                <w:rFonts w:ascii="Calibri" w:hAnsi="Calibri"/>
                <w:b/>
                <w:bCs/>
              </w:rPr>
            </w:pPr>
            <w:r>
              <w:rPr>
                <w:rFonts w:ascii="Calibri" w:hAnsi="Calibri"/>
                <w:b/>
                <w:bCs/>
              </w:rPr>
              <w:t>2023</w:t>
            </w:r>
            <w:r w:rsidR="002D50E6" w:rsidRPr="0097037A">
              <w:rPr>
                <w:rFonts w:ascii="Calibri" w:hAnsi="Calibri"/>
                <w:b/>
                <w:bCs/>
              </w:rPr>
              <w:t>/</w:t>
            </w:r>
          </w:p>
          <w:p w14:paraId="01B529AD" w14:textId="77777777" w:rsidR="002D50E6" w:rsidRPr="0097037A" w:rsidRDefault="002D50E6" w:rsidP="00E90939">
            <w:pPr>
              <w:rPr>
                <w:rFonts w:ascii="Calibri" w:hAnsi="Calibri"/>
                <w:sz w:val="16"/>
                <w:szCs w:val="16"/>
              </w:rPr>
            </w:pPr>
          </w:p>
        </w:tc>
      </w:tr>
      <w:tr w:rsidR="002D50E6" w:rsidRPr="0063600A" w14:paraId="1A8472BB"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5FB194BA"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3AA380BF" w14:textId="77777777" w:rsidR="002D50E6" w:rsidRPr="0097037A" w:rsidRDefault="002D50E6" w:rsidP="00E90939">
            <w:pPr>
              <w:rPr>
                <w:rFonts w:ascii="Calibri" w:hAnsi="Calibri"/>
                <w:b/>
              </w:rPr>
            </w:pPr>
          </w:p>
          <w:p w14:paraId="2D8EE106" w14:textId="579A66E0" w:rsidR="002D50E6" w:rsidRPr="0097037A" w:rsidRDefault="00AA321F"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2-10T00:00:00Z">
                  <w:dateFormat w:val="dd/MM/yyyy"/>
                  <w:lid w:val="fr-BE"/>
                  <w:storeMappedDataAs w:val="dateTime"/>
                  <w:calendar w:val="gregorian"/>
                </w:date>
              </w:sdtPr>
              <w:sdtEndPr/>
              <w:sdtContent>
                <w:r w:rsidR="00670028">
                  <w:rPr>
                    <w:rFonts w:asciiTheme="minorHAnsi" w:hAnsiTheme="minorHAnsi" w:cstheme="minorHAnsi"/>
                    <w:b/>
                    <w:sz w:val="32"/>
                    <w:szCs w:val="32"/>
                    <w:u w:val="single"/>
                  </w:rPr>
                  <w:t>10/02/2023</w:t>
                </w:r>
              </w:sdtContent>
            </w:sdt>
            <w:r w:rsidR="00F30CB5" w:rsidRPr="0097037A">
              <w:rPr>
                <w:rFonts w:ascii="Calibri" w:hAnsi="Calibri"/>
                <w:b/>
              </w:rPr>
              <w:t xml:space="preserve"> </w:t>
            </w:r>
          </w:p>
          <w:p w14:paraId="5D5B8183" w14:textId="77777777" w:rsidR="002D50E6" w:rsidRPr="0097037A" w:rsidRDefault="002D50E6" w:rsidP="00E90939">
            <w:pPr>
              <w:rPr>
                <w:rFonts w:ascii="Calibri" w:hAnsi="Calibri"/>
                <w:sz w:val="16"/>
                <w:szCs w:val="16"/>
              </w:rPr>
            </w:pPr>
          </w:p>
        </w:tc>
      </w:tr>
      <w:tr w:rsidR="002D50E6" w:rsidRPr="0097037A" w14:paraId="67CC5700"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6632383D"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2FA460DD" w14:textId="77777777" w:rsidR="002D50E6" w:rsidRPr="004D4CC3" w:rsidRDefault="002D50E6" w:rsidP="00E90939">
            <w:pPr>
              <w:ind w:right="252"/>
              <w:rPr>
                <w:rFonts w:ascii="Calibri" w:hAnsi="Calibri"/>
                <w:sz w:val="18"/>
                <w:szCs w:val="18"/>
              </w:rPr>
            </w:pPr>
          </w:p>
          <w:p w14:paraId="5024DCEB" w14:textId="77777777" w:rsidR="002D50E6" w:rsidRPr="004D4CC3" w:rsidRDefault="002D50E6" w:rsidP="00E90939">
            <w:pPr>
              <w:rPr>
                <w:rFonts w:ascii="Calibri" w:hAnsi="Calibri"/>
                <w:b/>
                <w:sz w:val="20"/>
                <w:szCs w:val="20"/>
              </w:rPr>
            </w:pPr>
            <w:r w:rsidRPr="00670028">
              <w:rPr>
                <w:rFonts w:ascii="Calibri" w:hAnsi="Calibri" w:cs="Calibri"/>
                <w:b/>
                <w:bCs/>
                <w:szCs w:val="22"/>
              </w:rPr>
              <w:t>R.G. : 22/ 56/ A</w:t>
            </w:r>
            <w:r w:rsidRPr="004D4CC3">
              <w:rPr>
                <w:rFonts w:ascii="Calibri" w:hAnsi="Calibri"/>
                <w:b/>
                <w:sz w:val="20"/>
                <w:szCs w:val="20"/>
              </w:rPr>
              <w:t xml:space="preserve"> </w:t>
            </w:r>
          </w:p>
          <w:p w14:paraId="313C0D05" w14:textId="77777777" w:rsidR="002D50E6" w:rsidRPr="0097037A" w:rsidRDefault="002D50E6" w:rsidP="00E90939">
            <w:pPr>
              <w:rPr>
                <w:rFonts w:ascii="Calibri" w:hAnsi="Calibri"/>
                <w:sz w:val="16"/>
                <w:szCs w:val="16"/>
              </w:rPr>
            </w:pPr>
          </w:p>
        </w:tc>
      </w:tr>
    </w:tbl>
    <w:p w14:paraId="25328134"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4ECA2717" w14:textId="77777777" w:rsidTr="00BB2F46">
        <w:trPr>
          <w:trHeight w:val="4428"/>
        </w:trPr>
        <w:tc>
          <w:tcPr>
            <w:tcW w:w="5544" w:type="dxa"/>
          </w:tcPr>
          <w:p w14:paraId="1D937871"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49776001"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3D8044A4" w14:textId="77777777" w:rsidR="00BB2F46" w:rsidRPr="0097037A" w:rsidRDefault="00BB2F46" w:rsidP="00AA321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CD62D41"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3F93031C"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05EB239D"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28C1FABB"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34BC905B"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40FAC448"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6F48D419"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57FDAA08" w14:textId="77777777" w:rsidR="00BB2F46" w:rsidRPr="0097037A" w:rsidRDefault="00BB2F46" w:rsidP="00AA321F">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3970E4ED" w14:textId="77777777" w:rsidR="00BB2F46" w:rsidRPr="0097037A" w:rsidRDefault="00BB2F46" w:rsidP="00AA321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B0B20C7"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34F5537A"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4290395A"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31F4F6DB"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1DAEFC23"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5D0B969E"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09E0551"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93EA6B3" w14:textId="77777777" w:rsidR="00BB2F46" w:rsidRPr="0097037A" w:rsidRDefault="00BB2F46" w:rsidP="00AA321F">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238E1CA9" w14:textId="77777777" w:rsidR="00BB2F46" w:rsidRPr="0097037A" w:rsidRDefault="00BB2F46" w:rsidP="00AA321F">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DEE4DFF"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5A32F7DE"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705BDD62"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0F48DB5C"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79141B7B"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p>
                <w:p w14:paraId="136F2D54"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B2ABBDF" w14:textId="77777777" w:rsidR="00BB2F46" w:rsidRPr="0097037A" w:rsidRDefault="00BB2F46" w:rsidP="00AA321F">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21761103" w14:textId="77777777" w:rsidR="00BB2F46" w:rsidRPr="0097037A" w:rsidRDefault="00BB2F46" w:rsidP="00AA321F">
                  <w:pPr>
                    <w:framePr w:hSpace="141" w:wrap="around" w:vAnchor="text" w:hAnchor="text" w:x="3205" w:y="-3719"/>
                    <w:rPr>
                      <w:rFonts w:ascii="Calibri" w:eastAsia="SimSun" w:hAnsi="Calibri" w:cs="Times New Roman"/>
                      <w:color w:val="808080"/>
                      <w:sz w:val="8"/>
                      <w:szCs w:val="8"/>
                    </w:rPr>
                  </w:pPr>
                </w:p>
              </w:tc>
            </w:tr>
          </w:tbl>
          <w:p w14:paraId="03AADDE2" w14:textId="77777777" w:rsidR="00BB2F46" w:rsidRDefault="00BB2F46" w:rsidP="00BB2F46"/>
          <w:p w14:paraId="4D0EE092" w14:textId="77777777" w:rsidR="00BB2F46" w:rsidRDefault="00BB2F46" w:rsidP="00BB2F46"/>
        </w:tc>
      </w:tr>
    </w:tbl>
    <w:p w14:paraId="3C4A8655" w14:textId="77777777" w:rsidR="002D50E6" w:rsidRPr="0097037A" w:rsidRDefault="002D50E6" w:rsidP="002D50E6"/>
    <w:p w14:paraId="121030B7"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393EAD0E" w14:textId="77777777" w:rsidTr="00E90939">
        <w:tc>
          <w:tcPr>
            <w:tcW w:w="389" w:type="dxa"/>
            <w:vAlign w:val="center"/>
          </w:tcPr>
          <w:p w14:paraId="12299B0C"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612DE889"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3481D165"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136B0988" w14:textId="77777777" w:rsidTr="002E13EE">
        <w:trPr>
          <w:gridBefore w:val="2"/>
          <w:wBefore w:w="3768" w:type="dxa"/>
          <w:trHeight w:val="5155"/>
        </w:trPr>
        <w:tc>
          <w:tcPr>
            <w:tcW w:w="5460" w:type="dxa"/>
          </w:tcPr>
          <w:p w14:paraId="734AEB53"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1C32D4FA" w14:textId="77777777" w:rsidR="00BB2F46" w:rsidRPr="0097037A" w:rsidRDefault="00BB2F46" w:rsidP="00BB2F46">
            <w:pPr>
              <w:pStyle w:val="Plattetekstinspringen2"/>
              <w:ind w:left="0"/>
              <w:rPr>
                <w:rFonts w:ascii="Calibri" w:hAnsi="Calibri"/>
                <w:b/>
                <w:sz w:val="36"/>
                <w:szCs w:val="36"/>
                <w:lang w:val="fr-BE"/>
              </w:rPr>
            </w:pPr>
          </w:p>
          <w:p w14:paraId="65213E2E"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475B4FDD" w14:textId="77777777" w:rsidR="00BB2F46" w:rsidRPr="0097037A" w:rsidRDefault="00BB2F46" w:rsidP="00BB2F46">
            <w:pPr>
              <w:rPr>
                <w:rFonts w:ascii="Calibri" w:hAnsi="Calibri"/>
                <w:sz w:val="36"/>
                <w:szCs w:val="36"/>
              </w:rPr>
            </w:pPr>
          </w:p>
          <w:p w14:paraId="1513B35F" w14:textId="5969831A"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 xml:space="preserve">Septième chambre </w:t>
            </w:r>
          </w:p>
          <w:p w14:paraId="2FD4EE13" w14:textId="77777777" w:rsidR="00BB2F46" w:rsidRDefault="00BB2F46" w:rsidP="00BB2F46">
            <w:pPr>
              <w:rPr>
                <w:rFonts w:ascii="Calibri" w:hAnsi="Calibri"/>
                <w:sz w:val="36"/>
                <w:szCs w:val="36"/>
                <w:lang w:val="nl-NL"/>
              </w:rPr>
            </w:pPr>
          </w:p>
          <w:p w14:paraId="16BE08FA" w14:textId="77777777" w:rsidR="00BB2F46" w:rsidRDefault="00BB2F46" w:rsidP="002D50E6">
            <w:pPr>
              <w:pStyle w:val="Textebrut"/>
              <w:rPr>
                <w:rFonts w:asciiTheme="minorHAnsi" w:hAnsiTheme="minorHAnsi" w:cstheme="minorHAnsi"/>
                <w:b/>
                <w:sz w:val="32"/>
                <w:szCs w:val="32"/>
                <w:u w:val="single"/>
              </w:rPr>
            </w:pPr>
          </w:p>
        </w:tc>
      </w:tr>
      <w:tr w:rsidR="00BB2F46" w14:paraId="00534F5D" w14:textId="77777777" w:rsidTr="00BB2F46">
        <w:trPr>
          <w:gridAfter w:val="2"/>
          <w:wAfter w:w="5820" w:type="dxa"/>
          <w:trHeight w:val="936"/>
        </w:trPr>
        <w:tc>
          <w:tcPr>
            <w:tcW w:w="3408" w:type="dxa"/>
          </w:tcPr>
          <w:p w14:paraId="0C596E6A"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5DEDA156" w14:textId="77777777" w:rsidR="00BB2F46" w:rsidRDefault="00BB2F46" w:rsidP="00BB2F46">
            <w:pPr>
              <w:pStyle w:val="Textebrut"/>
              <w:ind w:left="600"/>
              <w:rPr>
                <w:rFonts w:asciiTheme="minorHAnsi" w:hAnsiTheme="minorHAnsi" w:cstheme="minorHAnsi"/>
                <w:b/>
                <w:sz w:val="32"/>
                <w:szCs w:val="32"/>
                <w:u w:val="single"/>
              </w:rPr>
            </w:pPr>
          </w:p>
        </w:tc>
      </w:tr>
      <w:tr w:rsidR="00BB2F46" w14:paraId="6125CDF6" w14:textId="77777777" w:rsidTr="00BB2F46">
        <w:trPr>
          <w:gridAfter w:val="2"/>
          <w:wAfter w:w="5820" w:type="dxa"/>
          <w:trHeight w:val="936"/>
        </w:trPr>
        <w:tc>
          <w:tcPr>
            <w:tcW w:w="3408" w:type="dxa"/>
          </w:tcPr>
          <w:p w14:paraId="17186493"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1DD72150" w14:textId="77777777" w:rsidR="00BB2F46" w:rsidRPr="0097037A" w:rsidRDefault="00BB2F46" w:rsidP="00BB2F46">
            <w:pPr>
              <w:snapToGrid w:val="0"/>
              <w:ind w:right="252"/>
              <w:rPr>
                <w:rFonts w:ascii="Calibri" w:hAnsi="Calibri"/>
                <w:sz w:val="18"/>
              </w:rPr>
            </w:pPr>
          </w:p>
        </w:tc>
      </w:tr>
    </w:tbl>
    <w:p w14:paraId="025B48DD" w14:textId="77777777" w:rsidR="006A7631" w:rsidRPr="00F266E4" w:rsidRDefault="006A7631" w:rsidP="00386FFB">
      <w:pPr>
        <w:rPr>
          <w:rFonts w:asciiTheme="minorHAnsi" w:hAnsiTheme="minorHAnsi" w:cstheme="minorHAnsi"/>
          <w:b/>
          <w:bCs/>
          <w:color w:val="000000" w:themeColor="text1"/>
          <w:sz w:val="22"/>
          <w:szCs w:val="22"/>
          <w:u w:val="single"/>
          <w:lang w:val="fr-FR" w:bidi="fr-BE"/>
        </w:rPr>
      </w:pPr>
    </w:p>
    <w:p w14:paraId="0306E862"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1460BE59" w14:textId="77777777" w:rsidR="006A7631" w:rsidRDefault="006A7631" w:rsidP="00386FFB">
      <w:pPr>
        <w:rPr>
          <w:rFonts w:asciiTheme="minorHAnsi" w:hAnsiTheme="minorHAnsi" w:cstheme="minorHAnsi"/>
          <w:b/>
          <w:bCs/>
          <w:color w:val="000000" w:themeColor="text1"/>
          <w:sz w:val="22"/>
          <w:szCs w:val="22"/>
          <w:lang w:bidi="fr-BE"/>
        </w:rPr>
      </w:pPr>
      <w:bookmarkStart w:id="0" w:name="niveau"/>
      <w:r>
        <w:rPr>
          <w:rFonts w:asciiTheme="minorHAnsi" w:hAnsiTheme="minorHAnsi" w:cstheme="minorHAnsi"/>
          <w:b/>
          <w:bCs/>
          <w:color w:val="000000" w:themeColor="text1"/>
          <w:sz w:val="22"/>
          <w:szCs w:val="22"/>
          <w:u w:val="single"/>
          <w:lang w:val="fr-FR" w:bidi="fr-BE"/>
        </w:rPr>
        <w:lastRenderedPageBreak/>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5E730FA8" w14:textId="77777777" w:rsidR="006A7631" w:rsidRDefault="006A7631" w:rsidP="00386FFB">
      <w:pPr>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14:paraId="6ABBF59E" w14:textId="12C83971" w:rsidR="006A7631" w:rsidRDefault="00670028" w:rsidP="006A7631">
      <w:pPr>
        <w:widowControl/>
        <w:ind w:left="1365"/>
        <w:rPr>
          <w:rFonts w:asciiTheme="minorHAnsi" w:eastAsia="Arial" w:hAnsiTheme="minorHAnsi" w:cstheme="minorHAnsi"/>
          <w:color w:val="000000" w:themeColor="text1"/>
          <w:sz w:val="22"/>
          <w:szCs w:val="22"/>
          <w:lang w:bidi="fr-BE"/>
        </w:rPr>
      </w:pPr>
      <w:bookmarkStart w:id="1" w:name="demandeur"/>
      <w:r>
        <w:rPr>
          <w:rFonts w:asciiTheme="minorHAnsi" w:eastAsia="Arial" w:hAnsiTheme="minorHAnsi" w:cstheme="minorHAnsi"/>
          <w:b/>
          <w:bCs/>
          <w:color w:val="000000" w:themeColor="text1"/>
          <w:sz w:val="22"/>
          <w:szCs w:val="22"/>
          <w:lang w:bidi="fr-BE"/>
        </w:rPr>
        <w:t xml:space="preserve">La SA </w:t>
      </w:r>
      <w:r w:rsidR="006A7631">
        <w:rPr>
          <w:rFonts w:asciiTheme="minorHAnsi" w:eastAsia="Arial" w:hAnsiTheme="minorHAnsi" w:cstheme="minorHAnsi"/>
          <w:b/>
          <w:bCs/>
          <w:color w:val="000000" w:themeColor="text1"/>
          <w:sz w:val="22"/>
          <w:szCs w:val="22"/>
          <w:lang w:bidi="fr-BE"/>
        </w:rPr>
        <w:t xml:space="preserve">PROMAS INTERNATIONAL, </w:t>
      </w:r>
      <w:r>
        <w:rPr>
          <w:rFonts w:asciiTheme="minorHAnsi" w:eastAsia="Arial" w:hAnsiTheme="minorHAnsi" w:cstheme="minorHAnsi"/>
          <w:color w:val="000000" w:themeColor="text1"/>
          <w:sz w:val="22"/>
          <w:szCs w:val="22"/>
          <w:lang w:bidi="fr-BE"/>
        </w:rPr>
        <w:t xml:space="preserve">inscrite à la </w:t>
      </w:r>
      <w:r w:rsidR="006A7631">
        <w:rPr>
          <w:rFonts w:asciiTheme="minorHAnsi" w:eastAsia="Arial" w:hAnsiTheme="minorHAnsi" w:cstheme="minorHAnsi"/>
          <w:color w:val="000000" w:themeColor="text1"/>
          <w:sz w:val="22"/>
          <w:szCs w:val="22"/>
          <w:lang w:bidi="fr-BE"/>
        </w:rPr>
        <w:t>BCE</w:t>
      </w:r>
      <w:r>
        <w:rPr>
          <w:rFonts w:asciiTheme="minorHAnsi" w:eastAsia="Arial" w:hAnsiTheme="minorHAnsi" w:cstheme="minorHAnsi"/>
          <w:color w:val="000000" w:themeColor="text1"/>
          <w:sz w:val="22"/>
          <w:szCs w:val="22"/>
          <w:lang w:bidi="fr-BE"/>
        </w:rPr>
        <w:t xml:space="preserve"> sous le numéro</w:t>
      </w:r>
      <w:r w:rsidR="006A7631">
        <w:rPr>
          <w:rFonts w:asciiTheme="minorHAnsi" w:eastAsia="Arial" w:hAnsiTheme="minorHAnsi" w:cstheme="minorHAnsi"/>
          <w:color w:val="000000" w:themeColor="text1"/>
          <w:sz w:val="22"/>
          <w:szCs w:val="22"/>
          <w:lang w:bidi="fr-BE"/>
        </w:rPr>
        <w:t xml:space="preserve"> 0436.874.637</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dont le siège social est sis </w:t>
      </w:r>
      <w:r w:rsidR="006A7631">
        <w:rPr>
          <w:rFonts w:asciiTheme="minorHAnsi" w:eastAsia="Arial" w:hAnsiTheme="minorHAnsi" w:cstheme="minorHAnsi"/>
          <w:color w:val="000000" w:themeColor="text1"/>
          <w:sz w:val="22"/>
          <w:szCs w:val="22"/>
          <w:lang w:bidi="fr-BE"/>
        </w:rPr>
        <w:t>Avenue de l'Indépendance, 45 à 4020 WANDRE</w:t>
      </w:r>
      <w:r>
        <w:rPr>
          <w:rFonts w:asciiTheme="minorHAnsi" w:eastAsia="Arial" w:hAnsiTheme="minorHAnsi" w:cstheme="minorHAnsi"/>
          <w:color w:val="000000" w:themeColor="text1"/>
          <w:sz w:val="22"/>
          <w:szCs w:val="22"/>
          <w:lang w:bidi="fr-BE"/>
        </w:rPr>
        <w:t xml:space="preserve"> représentée par Monsieur </w:t>
      </w:r>
      <w:r w:rsidR="00AA321F">
        <w:rPr>
          <w:rFonts w:asciiTheme="minorHAnsi" w:eastAsia="Arial" w:hAnsiTheme="minorHAnsi" w:cstheme="minorHAnsi"/>
          <w:color w:val="000000" w:themeColor="text1"/>
          <w:sz w:val="22"/>
          <w:szCs w:val="22"/>
          <w:lang w:bidi="fr-BE"/>
        </w:rPr>
        <w:t>R</w:t>
      </w:r>
      <w:r>
        <w:rPr>
          <w:rFonts w:asciiTheme="minorHAnsi" w:eastAsia="Arial" w:hAnsiTheme="minorHAnsi" w:cstheme="minorHAnsi"/>
          <w:color w:val="000000" w:themeColor="text1"/>
          <w:sz w:val="22"/>
          <w:szCs w:val="22"/>
          <w:lang w:bidi="fr-BE"/>
        </w:rPr>
        <w:t xml:space="preserve"> PATRICE, administrateur</w:t>
      </w:r>
    </w:p>
    <w:p w14:paraId="47CAA250" w14:textId="77777777" w:rsidR="006A7631" w:rsidRDefault="006A7631" w:rsidP="006A7631">
      <w:pPr>
        <w:widowControl/>
        <w:ind w:left="1365"/>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43C1B0D4" w14:textId="77777777" w:rsidR="006A7631" w:rsidRDefault="006A7631" w:rsidP="006A7631">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p>
    <w:p w14:paraId="78A97FB7" w14:textId="78CEC56D" w:rsidR="006A7631" w:rsidRDefault="006A7631" w:rsidP="006A7631">
      <w:pPr>
        <w:widowControl/>
        <w:ind w:left="1365"/>
        <w:rPr>
          <w:rFonts w:asciiTheme="minorHAnsi" w:eastAsia="Arial" w:hAnsiTheme="minorHAnsi" w:cstheme="minorHAnsi"/>
          <w:sz w:val="22"/>
          <w:szCs w:val="22"/>
          <w:lang w:bidi="fr-BE"/>
        </w:rPr>
      </w:pPr>
      <w:bookmarkStart w:id="2" w:name="demavoc"/>
      <w:r>
        <w:rPr>
          <w:rFonts w:asciiTheme="minorHAnsi" w:eastAsia="Arial" w:hAnsiTheme="minorHAnsi" w:cstheme="minorHAnsi"/>
          <w:sz w:val="22"/>
          <w:szCs w:val="22"/>
          <w:lang w:bidi="fr-BE"/>
        </w:rPr>
        <w:t xml:space="preserve">ayant </w:t>
      </w:r>
      <w:r w:rsidR="00670028">
        <w:rPr>
          <w:rFonts w:asciiTheme="minorHAnsi" w:eastAsia="Arial" w:hAnsiTheme="minorHAnsi" w:cstheme="minorHAnsi"/>
          <w:sz w:val="22"/>
          <w:szCs w:val="22"/>
          <w:lang w:bidi="fr-BE"/>
        </w:rPr>
        <w:t>comparu assisté par son</w:t>
      </w:r>
      <w:r>
        <w:rPr>
          <w:rFonts w:asciiTheme="minorHAnsi" w:eastAsia="Arial" w:hAnsiTheme="minorHAnsi" w:cstheme="minorHAnsi"/>
          <w:sz w:val="22"/>
          <w:szCs w:val="22"/>
          <w:lang w:bidi="fr-BE"/>
        </w:rPr>
        <w:t xml:space="preserve"> conseil Maître DECKERS HERVE, avocat, à 4000  LIEGE, Boulevard Gustave Kleyer, 17/1, </w:t>
      </w:r>
    </w:p>
    <w:bookmarkEnd w:id="1"/>
    <w:bookmarkEnd w:id="2"/>
    <w:p w14:paraId="1A42D7E9" w14:textId="77777777" w:rsidR="006A7631" w:rsidRDefault="006A7631" w:rsidP="006A7631">
      <w:pPr>
        <w:widowControl/>
        <w:ind w:left="1350"/>
        <w:jc w:val="both"/>
        <w:rPr>
          <w:rFonts w:asciiTheme="minorHAnsi" w:eastAsia="Arial" w:hAnsiTheme="minorHAnsi" w:cstheme="minorHAnsi"/>
          <w:color w:val="000000" w:themeColor="text1"/>
          <w:sz w:val="22"/>
          <w:szCs w:val="22"/>
          <w:lang w:bidi="fr-BE"/>
        </w:rPr>
      </w:pPr>
    </w:p>
    <w:p w14:paraId="1161D4EC" w14:textId="77777777"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71321BF3" w14:textId="77777777" w:rsidR="00DE5550" w:rsidRDefault="00DE5550" w:rsidP="006A7631">
      <w:pPr>
        <w:widowControl/>
        <w:jc w:val="both"/>
        <w:rPr>
          <w:rFonts w:asciiTheme="minorHAnsi" w:eastAsia="Arial" w:hAnsiTheme="minorHAnsi" w:cstheme="minorHAnsi"/>
          <w:b/>
          <w:color w:val="000000" w:themeColor="text1"/>
          <w:sz w:val="22"/>
          <w:szCs w:val="22"/>
          <w:u w:val="single"/>
          <w:lang w:bidi="fr-BE"/>
        </w:rPr>
      </w:pPr>
    </w:p>
    <w:p w14:paraId="2A673EA7" w14:textId="4A187D7F" w:rsidR="006A7631" w:rsidRDefault="003064E5" w:rsidP="00A55EBE">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b/>
          <w:bCs/>
          <w:color w:val="000000" w:themeColor="text1"/>
          <w:sz w:val="22"/>
          <w:szCs w:val="22"/>
          <w:lang w:bidi="fr-BE"/>
        </w:rPr>
        <w:t xml:space="preserve">Monsieur </w:t>
      </w:r>
      <w:r w:rsidR="00AA321F">
        <w:rPr>
          <w:rFonts w:asciiTheme="minorHAnsi" w:eastAsia="Arial" w:hAnsiTheme="minorHAnsi" w:cstheme="minorHAnsi"/>
          <w:b/>
          <w:bCs/>
          <w:color w:val="000000" w:themeColor="text1"/>
          <w:sz w:val="22"/>
          <w:szCs w:val="22"/>
          <w:lang w:bidi="fr-BE"/>
        </w:rPr>
        <w:t>K</w:t>
      </w:r>
      <w:r w:rsidR="006A7631">
        <w:rPr>
          <w:rFonts w:asciiTheme="minorHAnsi" w:eastAsia="Arial" w:hAnsiTheme="minorHAnsi" w:cstheme="minorHAnsi"/>
          <w:b/>
          <w:bCs/>
          <w:color w:val="000000" w:themeColor="text1"/>
          <w:sz w:val="22"/>
          <w:szCs w:val="22"/>
          <w:lang w:bidi="fr-BE"/>
        </w:rPr>
        <w:t xml:space="preserve"> </w:t>
      </w:r>
      <w:r w:rsidR="006A7631">
        <w:rPr>
          <w:rFonts w:asciiTheme="minorHAnsi" w:eastAsia="Arial" w:hAnsiTheme="minorHAnsi" w:cstheme="minorHAnsi"/>
          <w:sz w:val="22"/>
          <w:szCs w:val="22"/>
          <w:lang w:val="fr-FR" w:bidi="fr-BE"/>
        </w:rPr>
        <w:t>,</w:t>
      </w:r>
      <w:r w:rsidR="006A7631">
        <w:rPr>
          <w:rFonts w:asciiTheme="minorHAnsi" w:eastAsia="Arial" w:hAnsiTheme="minorHAnsi" w:cstheme="minorHAnsi"/>
          <w:color w:val="0000FF"/>
          <w:sz w:val="22"/>
          <w:szCs w:val="22"/>
          <w:lang w:val="fr-FR" w:bidi="fr-BE"/>
        </w:rPr>
        <w:t xml:space="preserve"> </w:t>
      </w:r>
      <w:r w:rsidR="006A7631">
        <w:rPr>
          <w:rFonts w:asciiTheme="minorHAnsi" w:eastAsia="Arial" w:hAnsiTheme="minorHAnsi" w:cstheme="minorHAnsi"/>
          <w:bCs/>
          <w:color w:val="000000" w:themeColor="text1"/>
          <w:sz w:val="22"/>
          <w:szCs w:val="22"/>
          <w:lang w:bidi="fr-BE"/>
        </w:rPr>
        <w:t>(RN: 69</w:t>
      </w:r>
      <w:r w:rsidR="00AA321F">
        <w:rPr>
          <w:rFonts w:asciiTheme="minorHAnsi" w:eastAsia="Arial" w:hAnsiTheme="minorHAnsi" w:cstheme="minorHAnsi"/>
          <w:bCs/>
          <w:color w:val="000000" w:themeColor="text1"/>
          <w:sz w:val="22"/>
          <w:szCs w:val="22"/>
          <w:lang w:bidi="fr-BE"/>
        </w:rPr>
        <w:t>………..</w:t>
      </w:r>
      <w:r w:rsidR="006A7631">
        <w:rPr>
          <w:rFonts w:asciiTheme="minorHAnsi" w:eastAsia="Arial" w:hAnsiTheme="minorHAnsi" w:cstheme="minorHAnsi"/>
          <w:bCs/>
          <w:color w:val="000000" w:themeColor="text1"/>
          <w:sz w:val="22"/>
          <w:szCs w:val="22"/>
          <w:lang w:bidi="fr-BE"/>
        </w:rPr>
        <w:t>)</w:t>
      </w:r>
      <w:r w:rsidR="006A7631">
        <w:rPr>
          <w:rFonts w:asciiTheme="minorHAnsi" w:eastAsia="Arial" w:hAnsiTheme="minorHAnsi" w:cstheme="minorHAnsi"/>
          <w:sz w:val="22"/>
          <w:szCs w:val="22"/>
          <w:lang w:val="fr-FR" w:bidi="fr-BE"/>
        </w:rPr>
        <w:t>,</w:t>
      </w:r>
    </w:p>
    <w:p w14:paraId="55DB4C6E" w14:textId="4AB63C47" w:rsidR="006A7631" w:rsidRDefault="006A7631" w:rsidP="00A55EBE">
      <w:pPr>
        <w:widowControl/>
        <w:ind w:left="1418"/>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rue </w:t>
      </w:r>
      <w:r w:rsidR="00AA321F">
        <w:rPr>
          <w:rFonts w:asciiTheme="minorHAnsi" w:eastAsia="Arial" w:hAnsiTheme="minorHAnsi" w:cstheme="minorHAnsi"/>
          <w:color w:val="000000" w:themeColor="text1"/>
          <w:sz w:val="22"/>
          <w:szCs w:val="22"/>
          <w:lang w:bidi="fr-BE"/>
        </w:rPr>
        <w:t>………….</w:t>
      </w:r>
      <w:r>
        <w:rPr>
          <w:rFonts w:asciiTheme="minorHAnsi" w:eastAsia="Arial" w:hAnsiTheme="minorHAnsi" w:cstheme="minorHAnsi"/>
          <w:color w:val="000000" w:themeColor="text1"/>
          <w:sz w:val="22"/>
          <w:szCs w:val="22"/>
          <w:lang w:bidi="fr-BE"/>
        </w:rPr>
        <w:t xml:space="preserve"> </w:t>
      </w:r>
    </w:p>
    <w:p w14:paraId="591007E7" w14:textId="77777777" w:rsidR="006A7631" w:rsidRDefault="006A7631" w:rsidP="00A55EBE">
      <w:pPr>
        <w:widowControl/>
        <w:ind w:left="1418"/>
        <w:rPr>
          <w:rFonts w:asciiTheme="minorHAnsi" w:eastAsia="Arial" w:hAnsiTheme="minorHAnsi" w:cstheme="minorHAnsi"/>
          <w:color w:val="000000" w:themeColor="text1"/>
          <w:sz w:val="22"/>
          <w:szCs w:val="22"/>
          <w:lang w:bidi="fr-BE"/>
        </w:rPr>
      </w:pPr>
    </w:p>
    <w:p w14:paraId="570C10FE" w14:textId="4AFFFF9F" w:rsidR="006A7631" w:rsidRDefault="00670028" w:rsidP="00A55EBE">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Première p</w:t>
      </w:r>
      <w:r w:rsidR="006A7631">
        <w:rPr>
          <w:rFonts w:asciiTheme="minorHAnsi" w:eastAsia="Arial" w:hAnsiTheme="minorHAnsi" w:cstheme="minorHAnsi"/>
          <w:sz w:val="22"/>
          <w:szCs w:val="22"/>
          <w:u w:val="single"/>
          <w:lang w:bidi="fr-BE"/>
        </w:rPr>
        <w:t>artie défenderesse</w:t>
      </w:r>
      <w:r w:rsidR="006A7631">
        <w:rPr>
          <w:rFonts w:asciiTheme="minorHAnsi" w:eastAsia="Arial" w:hAnsiTheme="minorHAnsi" w:cstheme="minorHAnsi"/>
          <w:sz w:val="22"/>
          <w:szCs w:val="22"/>
          <w:lang w:bidi="fr-BE"/>
        </w:rPr>
        <w:t xml:space="preserve">, </w:t>
      </w:r>
    </w:p>
    <w:p w14:paraId="3D4C886C" w14:textId="50129D18" w:rsidR="006A7631" w:rsidRDefault="00670028" w:rsidP="00A55EBE">
      <w:pPr>
        <w:widowControl/>
        <w:ind w:left="1418"/>
        <w:jc w:val="both"/>
        <w:rPr>
          <w:rFonts w:ascii="Calibri" w:hAnsi="Calibri" w:cs="Calibri"/>
          <w:sz w:val="22"/>
          <w:szCs w:val="22"/>
        </w:rPr>
      </w:pPr>
      <w:r>
        <w:rPr>
          <w:rFonts w:ascii="Calibri" w:hAnsi="Calibri" w:cs="Calibri"/>
          <w:sz w:val="22"/>
          <w:szCs w:val="22"/>
        </w:rPr>
        <w:t>Étant représentée par la C.S.C. LIEGE-HUY-WAREMME, dont les bureaux sont situés à 4020  LIEGE 2, Boulevard Saucy 8-10, et ayant comparu par Madame MARTINEZ AMELIA (porteuse d’une procuration écrite au sens de l'article 728 al. 3 du Code Judiciaire)</w:t>
      </w:r>
    </w:p>
    <w:p w14:paraId="4CF37819" w14:textId="77777777" w:rsidR="00670028" w:rsidRPr="00CC17BF" w:rsidRDefault="00670028" w:rsidP="00A55EBE">
      <w:pPr>
        <w:widowControl/>
        <w:ind w:left="1418"/>
        <w:rPr>
          <w:rFonts w:asciiTheme="minorHAnsi" w:eastAsia="Arial" w:hAnsiTheme="minorHAnsi" w:cstheme="minorHAnsi"/>
          <w:color w:val="000000" w:themeColor="text1"/>
          <w:sz w:val="12"/>
          <w:szCs w:val="12"/>
          <w:lang w:bidi="fr-BE"/>
        </w:rPr>
      </w:pPr>
    </w:p>
    <w:p w14:paraId="5ADE7530" w14:textId="17F87A69" w:rsidR="006A7631" w:rsidRDefault="00670028" w:rsidP="00A55EBE">
      <w:pPr>
        <w:widowControl/>
        <w:ind w:left="1418"/>
        <w:jc w:val="both"/>
        <w:rPr>
          <w:rFonts w:asciiTheme="minorHAnsi" w:eastAsia="Arial" w:hAnsiTheme="minorHAnsi" w:cstheme="minorHAnsi"/>
          <w:color w:val="000000" w:themeColor="text1"/>
          <w:sz w:val="22"/>
          <w:szCs w:val="22"/>
          <w:lang w:bidi="fr-BE"/>
        </w:rPr>
      </w:pPr>
      <w:bookmarkStart w:id="3" w:name="defendeur"/>
      <w:r>
        <w:rPr>
          <w:rFonts w:asciiTheme="minorHAnsi" w:eastAsia="Arial" w:hAnsiTheme="minorHAnsi" w:cstheme="minorHAnsi"/>
          <w:b/>
          <w:bCs/>
          <w:color w:val="000000" w:themeColor="text1"/>
          <w:sz w:val="22"/>
          <w:szCs w:val="22"/>
          <w:lang w:bidi="fr-BE"/>
        </w:rPr>
        <w:t xml:space="preserve">La SRL </w:t>
      </w:r>
      <w:r w:rsidR="006A7631">
        <w:rPr>
          <w:rFonts w:asciiTheme="minorHAnsi" w:eastAsia="Arial" w:hAnsiTheme="minorHAnsi" w:cstheme="minorHAnsi"/>
          <w:b/>
          <w:bCs/>
          <w:color w:val="000000" w:themeColor="text1"/>
          <w:sz w:val="22"/>
          <w:szCs w:val="22"/>
          <w:lang w:bidi="fr-BE"/>
        </w:rPr>
        <w:t>MLD CONCEPT</w:t>
      </w:r>
      <w:r w:rsidR="006A7631">
        <w:rPr>
          <w:rFonts w:asciiTheme="minorHAnsi" w:eastAsia="Arial" w:hAnsiTheme="minorHAnsi" w:cstheme="minorHAnsi"/>
          <w:sz w:val="22"/>
          <w:szCs w:val="22"/>
          <w:lang w:val="fr-FR" w:bidi="fr-BE"/>
        </w:rPr>
        <w:t>,</w:t>
      </w:r>
      <w:r w:rsidR="006A7631">
        <w:rPr>
          <w:rFonts w:asciiTheme="minorHAnsi" w:eastAsia="Arial" w:hAnsiTheme="minorHAnsi" w:cstheme="minorHAnsi"/>
          <w:color w:val="0000FF"/>
          <w:sz w:val="22"/>
          <w:szCs w:val="22"/>
          <w:lang w:val="fr-FR" w:bidi="fr-BE"/>
        </w:rPr>
        <w:t xml:space="preserve"> </w:t>
      </w:r>
      <w:r>
        <w:rPr>
          <w:rFonts w:asciiTheme="minorHAnsi" w:eastAsia="Arial" w:hAnsiTheme="minorHAnsi" w:cstheme="minorHAnsi"/>
          <w:bCs/>
          <w:color w:val="000000" w:themeColor="text1"/>
          <w:sz w:val="22"/>
          <w:szCs w:val="22"/>
          <w:lang w:bidi="fr-BE"/>
        </w:rPr>
        <w:t xml:space="preserve">inscrite à la </w:t>
      </w:r>
      <w:r w:rsidR="006A7631">
        <w:rPr>
          <w:rFonts w:asciiTheme="minorHAnsi" w:eastAsia="Arial" w:hAnsiTheme="minorHAnsi" w:cstheme="minorHAnsi"/>
          <w:bCs/>
          <w:color w:val="000000" w:themeColor="text1"/>
          <w:sz w:val="22"/>
          <w:szCs w:val="22"/>
          <w:lang w:bidi="fr-BE"/>
        </w:rPr>
        <w:t>BCE</w:t>
      </w:r>
      <w:r>
        <w:rPr>
          <w:rFonts w:asciiTheme="minorHAnsi" w:eastAsia="Arial" w:hAnsiTheme="minorHAnsi" w:cstheme="minorHAnsi"/>
          <w:bCs/>
          <w:color w:val="000000" w:themeColor="text1"/>
          <w:sz w:val="22"/>
          <w:szCs w:val="22"/>
          <w:lang w:bidi="fr-BE"/>
        </w:rPr>
        <w:t xml:space="preserve"> sous le numéro</w:t>
      </w:r>
      <w:r w:rsidR="006A7631">
        <w:rPr>
          <w:rFonts w:asciiTheme="minorHAnsi" w:eastAsia="Arial" w:hAnsiTheme="minorHAnsi" w:cstheme="minorHAnsi"/>
          <w:bCs/>
          <w:color w:val="000000" w:themeColor="text1"/>
          <w:sz w:val="22"/>
          <w:szCs w:val="22"/>
          <w:lang w:bidi="fr-BE"/>
        </w:rPr>
        <w:t xml:space="preserve"> 0862.102.445</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dont le siège social est sis </w:t>
      </w:r>
      <w:r w:rsidR="006A7631">
        <w:rPr>
          <w:rFonts w:asciiTheme="minorHAnsi" w:eastAsia="Arial" w:hAnsiTheme="minorHAnsi" w:cstheme="minorHAnsi"/>
          <w:color w:val="000000" w:themeColor="text1"/>
          <w:sz w:val="22"/>
          <w:szCs w:val="22"/>
          <w:lang w:bidi="fr-BE"/>
        </w:rPr>
        <w:t xml:space="preserve">rue de la Légende, 45/A à 4141 LOUVEIGNE (SPRIMONT) </w:t>
      </w:r>
    </w:p>
    <w:p w14:paraId="2342A2D5" w14:textId="77777777" w:rsidR="006A7631" w:rsidRDefault="006A7631" w:rsidP="00A55EBE">
      <w:pPr>
        <w:widowControl/>
        <w:ind w:left="1418"/>
        <w:rPr>
          <w:rFonts w:asciiTheme="minorHAnsi" w:eastAsia="Arial" w:hAnsiTheme="minorHAnsi" w:cstheme="minorHAnsi"/>
          <w:color w:val="000000" w:themeColor="text1"/>
          <w:sz w:val="22"/>
          <w:szCs w:val="22"/>
          <w:lang w:bidi="fr-BE"/>
        </w:rPr>
      </w:pPr>
    </w:p>
    <w:p w14:paraId="4E6D8A8A" w14:textId="42CB0712" w:rsidR="006A7631" w:rsidRDefault="00670028" w:rsidP="00A55EBE">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Deuxième p</w:t>
      </w:r>
      <w:r w:rsidR="006A7631">
        <w:rPr>
          <w:rFonts w:asciiTheme="minorHAnsi" w:eastAsia="Arial" w:hAnsiTheme="minorHAnsi" w:cstheme="minorHAnsi"/>
          <w:sz w:val="22"/>
          <w:szCs w:val="22"/>
          <w:u w:val="single"/>
          <w:lang w:bidi="fr-BE"/>
        </w:rPr>
        <w:t>artie défenderesse</w:t>
      </w:r>
      <w:r w:rsidR="006A7631">
        <w:rPr>
          <w:rFonts w:asciiTheme="minorHAnsi" w:eastAsia="Arial" w:hAnsiTheme="minorHAnsi" w:cstheme="minorHAnsi"/>
          <w:sz w:val="22"/>
          <w:szCs w:val="22"/>
          <w:lang w:bidi="fr-BE"/>
        </w:rPr>
        <w:t xml:space="preserve">, </w:t>
      </w:r>
    </w:p>
    <w:p w14:paraId="5B689CB5" w14:textId="5F89BE68" w:rsidR="006A7631" w:rsidRDefault="006A7631" w:rsidP="00A55EBE">
      <w:pPr>
        <w:widowControl/>
        <w:ind w:left="1418"/>
        <w:rPr>
          <w:rFonts w:asciiTheme="minorHAnsi" w:eastAsia="Arial" w:hAnsiTheme="minorHAnsi" w:cstheme="minorHAnsi"/>
          <w:sz w:val="22"/>
          <w:szCs w:val="22"/>
          <w:lang w:bidi="fr-BE"/>
        </w:rPr>
      </w:pPr>
      <w:bookmarkStart w:id="4" w:name="defavoc"/>
      <w:r>
        <w:rPr>
          <w:rFonts w:asciiTheme="minorHAnsi" w:eastAsia="Arial" w:hAnsiTheme="minorHAnsi" w:cstheme="minorHAnsi"/>
          <w:sz w:val="22"/>
          <w:szCs w:val="22"/>
          <w:lang w:bidi="fr-BE"/>
        </w:rPr>
        <w:t xml:space="preserve">ayant </w:t>
      </w:r>
      <w:r w:rsidR="00670028">
        <w:rPr>
          <w:rFonts w:asciiTheme="minorHAnsi" w:eastAsia="Arial" w:hAnsiTheme="minorHAnsi" w:cstheme="minorHAnsi"/>
          <w:sz w:val="22"/>
          <w:szCs w:val="22"/>
          <w:lang w:bidi="fr-BE"/>
        </w:rPr>
        <w:t>comparu par son</w:t>
      </w:r>
      <w:r>
        <w:rPr>
          <w:rFonts w:asciiTheme="minorHAnsi" w:eastAsia="Arial" w:hAnsiTheme="minorHAnsi" w:cstheme="minorHAnsi"/>
          <w:sz w:val="22"/>
          <w:szCs w:val="22"/>
          <w:lang w:bidi="fr-BE"/>
        </w:rPr>
        <w:t xml:space="preserve"> conseil Maître CLOSON GILLES, avocat, à 4000 LIEGE, rue des Fories, 2, </w:t>
      </w:r>
    </w:p>
    <w:bookmarkEnd w:id="0"/>
    <w:bookmarkEnd w:id="3"/>
    <w:bookmarkEnd w:id="4"/>
    <w:p w14:paraId="607AA192" w14:textId="77777777"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14:paraId="5B9559AB" w14:textId="77777777" w:rsidR="006A7631" w:rsidRPr="00F266E4" w:rsidRDefault="006A7631" w:rsidP="006A7631">
      <w:pPr>
        <w:pStyle w:val="Textebrut"/>
        <w:jc w:val="both"/>
        <w:rPr>
          <w:rFonts w:asciiTheme="minorHAnsi" w:hAnsiTheme="minorHAnsi" w:cstheme="minorHAnsi"/>
          <w:sz w:val="22"/>
          <w:szCs w:val="22"/>
          <w:lang w:val="fr-FR"/>
        </w:rPr>
      </w:pPr>
    </w:p>
    <w:p w14:paraId="24723034" w14:textId="77777777" w:rsidR="00670028" w:rsidRPr="00670028" w:rsidRDefault="00670028" w:rsidP="00670028">
      <w:pPr>
        <w:widowControl/>
        <w:numPr>
          <w:ilvl w:val="0"/>
          <w:numId w:val="8"/>
        </w:numPr>
        <w:suppressAutoHyphens w:val="0"/>
        <w:autoSpaceDN/>
        <w:spacing w:after="160" w:line="256" w:lineRule="auto"/>
        <w:contextualSpacing/>
        <w:jc w:val="both"/>
        <w:textAlignment w:val="auto"/>
        <w:rPr>
          <w:rFonts w:ascii="Calibri" w:eastAsia="Calibri" w:hAnsi="Calibri" w:cs="Calibri"/>
          <w:b/>
          <w:kern w:val="0"/>
          <w:sz w:val="22"/>
          <w:szCs w:val="22"/>
          <w:u w:val="single"/>
          <w:lang w:val="en-US" w:eastAsia="en-US"/>
        </w:rPr>
      </w:pPr>
      <w:r w:rsidRPr="00670028">
        <w:rPr>
          <w:rFonts w:ascii="Calibri" w:eastAsia="Calibri" w:hAnsi="Calibri" w:cs="Calibri"/>
          <w:b/>
          <w:kern w:val="0"/>
          <w:sz w:val="22"/>
          <w:szCs w:val="22"/>
          <w:u w:val="single"/>
          <w:lang w:val="en-US" w:eastAsia="en-US"/>
        </w:rPr>
        <w:t xml:space="preserve">La </w:t>
      </w:r>
      <w:r w:rsidRPr="00670028">
        <w:rPr>
          <w:rFonts w:ascii="Calibri" w:eastAsia="Calibri" w:hAnsi="Calibri" w:cs="Calibri"/>
          <w:b/>
          <w:kern w:val="0"/>
          <w:sz w:val="22"/>
          <w:szCs w:val="22"/>
          <w:u w:val="single"/>
          <w:lang w:eastAsia="en-US"/>
        </w:rPr>
        <w:t>procédure</w:t>
      </w:r>
    </w:p>
    <w:p w14:paraId="39CB01A1" w14:textId="77777777" w:rsidR="00670028" w:rsidRDefault="00670028"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DA36672" w14:textId="4BAFFEB3"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209DDFCF" w14:textId="77777777" w:rsidR="006A7631" w:rsidRPr="006C22FE" w:rsidRDefault="006A7631" w:rsidP="006A7631">
      <w:pPr>
        <w:pStyle w:val="Textebrut"/>
        <w:tabs>
          <w:tab w:val="left" w:pos="1843"/>
        </w:tabs>
        <w:jc w:val="both"/>
        <w:rPr>
          <w:rFonts w:asciiTheme="minorHAnsi" w:hAnsiTheme="minorHAnsi" w:cstheme="minorHAnsi"/>
          <w:sz w:val="22"/>
          <w:szCs w:val="22"/>
          <w:lang w:val="fr-FR"/>
        </w:rPr>
      </w:pPr>
    </w:p>
    <w:p w14:paraId="639FCB1C"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14:paraId="043FD2E2"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F89D62F" w14:textId="22AE9BBD"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EB2A44">
        <w:rPr>
          <w:rFonts w:asciiTheme="minorHAnsi" w:eastAsia="Times New Roman" w:hAnsiTheme="minorHAnsi" w:cstheme="minorHAnsi"/>
          <w:b/>
          <w:kern w:val="0"/>
          <w:sz w:val="22"/>
          <w:szCs w:val="22"/>
          <w:lang w:val="fr-FR" w:eastAsia="en-US"/>
        </w:rPr>
        <w:t>07/01/2022</w:t>
      </w:r>
      <w:r w:rsidRPr="006C22FE">
        <w:rPr>
          <w:rFonts w:asciiTheme="minorHAnsi" w:eastAsia="Times New Roman" w:hAnsiTheme="minorHAnsi" w:cstheme="minorHAnsi"/>
          <w:kern w:val="0"/>
          <w:sz w:val="22"/>
          <w:szCs w:val="22"/>
          <w:lang w:val="fr-FR" w:eastAsia="en-US"/>
        </w:rPr>
        <w:t> ;</w:t>
      </w:r>
    </w:p>
    <w:p w14:paraId="13CC6FF4" w14:textId="2F438D6D"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l’ordonnance 747§</w:t>
      </w:r>
      <w:r w:rsidR="00EB2A44">
        <w:rPr>
          <w:rFonts w:asciiTheme="minorHAnsi" w:eastAsia="Times New Roman" w:hAnsiTheme="minorHAnsi" w:cstheme="minorHAnsi"/>
          <w:kern w:val="0"/>
          <w:sz w:val="22"/>
          <w:szCs w:val="22"/>
          <w:lang w:val="fr-FR" w:eastAsia="en-US"/>
        </w:rPr>
        <w:t>1</w:t>
      </w:r>
      <w:r w:rsidRPr="006C22FE">
        <w:rPr>
          <w:rFonts w:asciiTheme="minorHAnsi" w:eastAsia="Times New Roman" w:hAnsiTheme="minorHAnsi" w:cstheme="minorHAnsi"/>
          <w:kern w:val="0"/>
          <w:sz w:val="22"/>
          <w:szCs w:val="22"/>
          <w:lang w:val="fr-FR" w:eastAsia="en-US"/>
        </w:rPr>
        <w:t xml:space="preserve"> CJ rendue par la chambre de céans le </w:t>
      </w:r>
      <w:r w:rsidR="00EB2A44">
        <w:rPr>
          <w:rFonts w:asciiTheme="minorHAnsi" w:eastAsia="Times New Roman" w:hAnsiTheme="minorHAnsi" w:cstheme="minorHAnsi"/>
          <w:b/>
          <w:kern w:val="0"/>
          <w:sz w:val="22"/>
          <w:szCs w:val="22"/>
          <w:lang w:val="fr-FR" w:eastAsia="en-US"/>
        </w:rPr>
        <w:t>18/01/2022</w:t>
      </w:r>
      <w:r w:rsidRPr="006C22FE">
        <w:rPr>
          <w:rFonts w:asciiTheme="minorHAnsi" w:eastAsia="Times New Roman" w:hAnsiTheme="minorHAnsi" w:cstheme="minorHAnsi"/>
          <w:kern w:val="0"/>
          <w:sz w:val="22"/>
          <w:szCs w:val="22"/>
          <w:lang w:val="fr-FR" w:eastAsia="en-US"/>
        </w:rPr>
        <w:t xml:space="preserve"> ; </w:t>
      </w:r>
    </w:p>
    <w:p w14:paraId="24EF96E5" w14:textId="1433C86D"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les conclusions de la</w:t>
      </w:r>
      <w:r w:rsidR="00EB2A44">
        <w:rPr>
          <w:rFonts w:asciiTheme="minorHAnsi" w:eastAsia="Times New Roman" w:hAnsiTheme="minorHAnsi" w:cstheme="minorHAnsi"/>
          <w:kern w:val="0"/>
          <w:sz w:val="22"/>
          <w:szCs w:val="22"/>
          <w:lang w:val="fr-FR" w:eastAsia="en-US"/>
        </w:rPr>
        <w:t xml:space="preserve"> 1</w:t>
      </w:r>
      <w:r w:rsidR="00EB2A44" w:rsidRPr="00EB2A44">
        <w:rPr>
          <w:rFonts w:asciiTheme="minorHAnsi" w:eastAsia="Times New Roman" w:hAnsiTheme="minorHAnsi" w:cstheme="minorHAnsi"/>
          <w:kern w:val="0"/>
          <w:sz w:val="22"/>
          <w:szCs w:val="22"/>
          <w:vertAlign w:val="superscript"/>
          <w:lang w:val="fr-FR" w:eastAsia="en-US"/>
        </w:rPr>
        <w:t>ère</w:t>
      </w:r>
      <w:r w:rsidR="00EB2A44">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 xml:space="preserve">partie défenderesse reçues au greffe le </w:t>
      </w:r>
      <w:r w:rsidR="00EB2A44">
        <w:rPr>
          <w:rFonts w:asciiTheme="minorHAnsi" w:eastAsia="Times New Roman" w:hAnsiTheme="minorHAnsi" w:cstheme="minorHAnsi"/>
          <w:b/>
          <w:kern w:val="0"/>
          <w:sz w:val="22"/>
          <w:szCs w:val="22"/>
          <w:lang w:val="fr-FR" w:eastAsia="en-US"/>
        </w:rPr>
        <w:t>25/03/2022</w:t>
      </w:r>
      <w:r w:rsidRPr="006C22FE">
        <w:rPr>
          <w:rFonts w:asciiTheme="minorHAnsi" w:eastAsia="Times New Roman" w:hAnsiTheme="minorHAnsi" w:cstheme="minorHAnsi"/>
          <w:b/>
          <w:kern w:val="0"/>
          <w:sz w:val="22"/>
          <w:szCs w:val="22"/>
          <w:lang w:val="fr-FR" w:eastAsia="en-US"/>
        </w:rPr>
        <w:t> </w:t>
      </w:r>
      <w:r w:rsidRPr="006C22FE">
        <w:rPr>
          <w:rFonts w:asciiTheme="minorHAnsi" w:eastAsia="Times New Roman" w:hAnsiTheme="minorHAnsi" w:cstheme="minorHAnsi"/>
          <w:kern w:val="0"/>
          <w:sz w:val="22"/>
          <w:szCs w:val="22"/>
          <w:lang w:val="fr-FR" w:eastAsia="en-US"/>
        </w:rPr>
        <w:t>;</w:t>
      </w:r>
    </w:p>
    <w:p w14:paraId="09E0C2D4" w14:textId="6F3A28E0" w:rsidR="00EB2A44" w:rsidRPr="00EB2A44" w:rsidRDefault="00EB2A4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de la 2</w:t>
      </w:r>
      <w:r w:rsidRPr="00EB2A44">
        <w:rPr>
          <w:rFonts w:asciiTheme="minorHAnsi" w:eastAsia="Times New Roman" w:hAnsiTheme="minorHAnsi" w:cstheme="minorHAnsi"/>
          <w:kern w:val="0"/>
          <w:sz w:val="22"/>
          <w:szCs w:val="22"/>
          <w:vertAlign w:val="superscript"/>
          <w:lang w:val="fr-FR" w:eastAsia="en-US"/>
        </w:rPr>
        <w:t>e</w:t>
      </w:r>
      <w:r>
        <w:rPr>
          <w:rFonts w:asciiTheme="minorHAnsi" w:eastAsia="Times New Roman" w:hAnsiTheme="minorHAnsi" w:cstheme="minorHAnsi"/>
          <w:kern w:val="0"/>
          <w:sz w:val="22"/>
          <w:szCs w:val="22"/>
          <w:lang w:val="fr-FR" w:eastAsia="en-US"/>
        </w:rPr>
        <w:t xml:space="preserve"> partie défenderesse reçues au greffe le </w:t>
      </w:r>
      <w:r>
        <w:rPr>
          <w:rFonts w:asciiTheme="minorHAnsi" w:eastAsia="Times New Roman" w:hAnsiTheme="minorHAnsi" w:cstheme="minorHAnsi"/>
          <w:b/>
          <w:bCs/>
          <w:kern w:val="0"/>
          <w:sz w:val="22"/>
          <w:szCs w:val="22"/>
          <w:lang w:val="fr-FR" w:eastAsia="en-US"/>
        </w:rPr>
        <w:t>18/05/2022 ;</w:t>
      </w:r>
    </w:p>
    <w:p w14:paraId="253F0D37" w14:textId="7A4C07BB" w:rsidR="00EB2A44" w:rsidRPr="00EB2A44" w:rsidRDefault="00EB2A4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de la partie demanderesse reçues au greffe le </w:t>
      </w:r>
      <w:r>
        <w:rPr>
          <w:rFonts w:asciiTheme="minorHAnsi" w:eastAsia="Times New Roman" w:hAnsiTheme="minorHAnsi" w:cstheme="minorHAnsi"/>
          <w:b/>
          <w:bCs/>
          <w:kern w:val="0"/>
          <w:sz w:val="22"/>
          <w:szCs w:val="22"/>
          <w:lang w:val="fr-FR" w:eastAsia="en-US"/>
        </w:rPr>
        <w:t>13/07/2022 ;</w:t>
      </w:r>
    </w:p>
    <w:p w14:paraId="51D1988E" w14:textId="26ABF00E" w:rsidR="00EB2A44" w:rsidRPr="00EB2A44" w:rsidRDefault="00EB2A4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additionnelles de la 1</w:t>
      </w:r>
      <w:r w:rsidRPr="00EB2A44">
        <w:rPr>
          <w:rFonts w:asciiTheme="minorHAnsi" w:eastAsia="Times New Roman" w:hAnsiTheme="minorHAnsi" w:cstheme="minorHAnsi"/>
          <w:kern w:val="0"/>
          <w:sz w:val="22"/>
          <w:szCs w:val="22"/>
          <w:vertAlign w:val="superscript"/>
          <w:lang w:val="fr-FR" w:eastAsia="en-US"/>
        </w:rPr>
        <w:t>ère</w:t>
      </w:r>
      <w:r>
        <w:rPr>
          <w:rFonts w:asciiTheme="minorHAnsi" w:eastAsia="Times New Roman" w:hAnsiTheme="minorHAnsi" w:cstheme="minorHAnsi"/>
          <w:kern w:val="0"/>
          <w:sz w:val="22"/>
          <w:szCs w:val="22"/>
          <w:lang w:val="fr-FR" w:eastAsia="en-US"/>
        </w:rPr>
        <w:t xml:space="preserve"> partie défenderesse reçues au greffe le </w:t>
      </w:r>
      <w:r>
        <w:rPr>
          <w:rFonts w:asciiTheme="minorHAnsi" w:eastAsia="Times New Roman" w:hAnsiTheme="minorHAnsi" w:cstheme="minorHAnsi"/>
          <w:b/>
          <w:bCs/>
          <w:kern w:val="0"/>
          <w:sz w:val="22"/>
          <w:szCs w:val="22"/>
          <w:lang w:val="fr-FR" w:eastAsia="en-US"/>
        </w:rPr>
        <w:t>12/08/2022 ;</w:t>
      </w:r>
    </w:p>
    <w:p w14:paraId="34FFD328" w14:textId="77777777" w:rsidR="00EB2A44" w:rsidRPr="00EB2A44" w:rsidRDefault="00EB2A4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les conclusions additionnelles de la 2</w:t>
      </w:r>
      <w:r w:rsidRPr="00EB2A44">
        <w:rPr>
          <w:rFonts w:asciiTheme="minorHAnsi" w:eastAsia="Times New Roman" w:hAnsiTheme="minorHAnsi" w:cstheme="minorHAnsi"/>
          <w:kern w:val="0"/>
          <w:sz w:val="22"/>
          <w:szCs w:val="22"/>
          <w:vertAlign w:val="superscript"/>
          <w:lang w:val="fr-FR" w:eastAsia="en-US"/>
        </w:rPr>
        <w:t>e</w:t>
      </w:r>
      <w:r>
        <w:rPr>
          <w:rFonts w:asciiTheme="minorHAnsi" w:eastAsia="Times New Roman" w:hAnsiTheme="minorHAnsi" w:cstheme="minorHAnsi"/>
          <w:kern w:val="0"/>
          <w:sz w:val="22"/>
          <w:szCs w:val="22"/>
          <w:lang w:val="fr-FR" w:eastAsia="en-US"/>
        </w:rPr>
        <w:t xml:space="preserve"> partie défenderesse reçues au greffe le </w:t>
      </w:r>
      <w:r>
        <w:rPr>
          <w:rFonts w:asciiTheme="minorHAnsi" w:eastAsia="Times New Roman" w:hAnsiTheme="minorHAnsi" w:cstheme="minorHAnsi"/>
          <w:b/>
          <w:bCs/>
          <w:kern w:val="0"/>
          <w:sz w:val="22"/>
          <w:szCs w:val="22"/>
          <w:lang w:val="fr-FR" w:eastAsia="en-US"/>
        </w:rPr>
        <w:t>19/09/2022 ;</w:t>
      </w:r>
    </w:p>
    <w:p w14:paraId="71CC78E2" w14:textId="77777777" w:rsidR="00EB2A44" w:rsidRPr="00EB2A44" w:rsidRDefault="00EB2A44" w:rsidP="00EB2A44">
      <w:pPr>
        <w:widowControl/>
        <w:numPr>
          <w:ilvl w:val="0"/>
          <w:numId w:val="6"/>
        </w:numPr>
        <w:suppressAutoHyphens w:val="0"/>
        <w:autoSpaceDN/>
        <w:ind w:left="567" w:hanging="567"/>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additionnelles et de synthèse de la partie demanderesse reçues au greffe le </w:t>
      </w:r>
      <w:r>
        <w:rPr>
          <w:rFonts w:asciiTheme="minorHAnsi" w:eastAsia="Times New Roman" w:hAnsiTheme="minorHAnsi" w:cstheme="minorHAnsi"/>
          <w:b/>
          <w:bCs/>
          <w:kern w:val="0"/>
          <w:sz w:val="22"/>
          <w:szCs w:val="22"/>
          <w:lang w:val="fr-FR" w:eastAsia="en-US"/>
        </w:rPr>
        <w:t>18/10/2022 :</w:t>
      </w:r>
    </w:p>
    <w:p w14:paraId="2D252014" w14:textId="4620CF81" w:rsidR="00EB2A44" w:rsidRPr="006C22FE" w:rsidRDefault="00EB2A44" w:rsidP="00EB2A44">
      <w:pPr>
        <w:widowControl/>
        <w:numPr>
          <w:ilvl w:val="0"/>
          <w:numId w:val="6"/>
        </w:numPr>
        <w:suppressAutoHyphens w:val="0"/>
        <w:autoSpaceDN/>
        <w:ind w:left="567" w:hanging="567"/>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les conclusions de synthèse des deux parties défenderesses reçues au greffe le </w:t>
      </w:r>
      <w:r>
        <w:rPr>
          <w:rFonts w:asciiTheme="minorHAnsi" w:eastAsia="Times New Roman" w:hAnsiTheme="minorHAnsi" w:cstheme="minorHAnsi"/>
          <w:b/>
          <w:bCs/>
          <w:kern w:val="0"/>
          <w:sz w:val="22"/>
          <w:szCs w:val="22"/>
          <w:lang w:val="fr-FR" w:eastAsia="en-US"/>
        </w:rPr>
        <w:t>18/11/2022 ;</w:t>
      </w:r>
      <w:r>
        <w:rPr>
          <w:rFonts w:asciiTheme="minorHAnsi" w:eastAsia="Times New Roman" w:hAnsiTheme="minorHAnsi" w:cstheme="minorHAnsi"/>
          <w:kern w:val="0"/>
          <w:sz w:val="22"/>
          <w:szCs w:val="22"/>
          <w:lang w:val="fr-FR" w:eastAsia="en-US"/>
        </w:rPr>
        <w:t xml:space="preserve">  </w:t>
      </w:r>
    </w:p>
    <w:p w14:paraId="28BFAE94" w14:textId="77777777"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5C993A15" w14:textId="1A0B70B0" w:rsidR="006A7631"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 dossier de la </w:t>
      </w:r>
      <w:r w:rsidR="00EB2A44">
        <w:rPr>
          <w:rFonts w:asciiTheme="minorHAnsi" w:eastAsia="Times New Roman" w:hAnsiTheme="minorHAnsi" w:cstheme="minorHAnsi"/>
          <w:kern w:val="0"/>
          <w:sz w:val="22"/>
          <w:szCs w:val="22"/>
          <w:lang w:val="fr-FR" w:eastAsia="en-US"/>
        </w:rPr>
        <w:t>1</w:t>
      </w:r>
      <w:r w:rsidR="00EB2A44" w:rsidRPr="00EB2A44">
        <w:rPr>
          <w:rFonts w:asciiTheme="minorHAnsi" w:eastAsia="Times New Roman" w:hAnsiTheme="minorHAnsi" w:cstheme="minorHAnsi"/>
          <w:kern w:val="0"/>
          <w:sz w:val="22"/>
          <w:szCs w:val="22"/>
          <w:vertAlign w:val="superscript"/>
          <w:lang w:val="fr-FR" w:eastAsia="en-US"/>
        </w:rPr>
        <w:t>ère</w:t>
      </w:r>
      <w:r w:rsidR="00EB2A44">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partie défenderesse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43EECBBB" w14:textId="73ED401F" w:rsidR="00EB2A44" w:rsidRPr="006C22FE" w:rsidRDefault="00EB2A44"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le dossier de la 2</w:t>
      </w:r>
      <w:r w:rsidRPr="00EB2A44">
        <w:rPr>
          <w:rFonts w:asciiTheme="minorHAnsi" w:eastAsia="Times New Roman" w:hAnsiTheme="minorHAnsi" w:cstheme="minorHAnsi"/>
          <w:kern w:val="0"/>
          <w:sz w:val="22"/>
          <w:szCs w:val="22"/>
          <w:vertAlign w:val="superscript"/>
          <w:lang w:val="fr-FR" w:eastAsia="en-US"/>
        </w:rPr>
        <w:t>e</w:t>
      </w:r>
      <w:r>
        <w:rPr>
          <w:rFonts w:asciiTheme="minorHAnsi" w:eastAsia="Times New Roman" w:hAnsiTheme="minorHAnsi" w:cstheme="minorHAnsi"/>
          <w:kern w:val="0"/>
          <w:sz w:val="22"/>
          <w:szCs w:val="22"/>
          <w:lang w:val="fr-FR" w:eastAsia="en-US"/>
        </w:rPr>
        <w:t xml:space="preserve"> partie défenderesse ;</w:t>
      </w:r>
    </w:p>
    <w:p w14:paraId="7D561B0E"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714C9FA3" w14:textId="3EE6D68A" w:rsidR="00670028" w:rsidRPr="00EB2A44" w:rsidRDefault="006A7631" w:rsidP="00EB2A44">
      <w:pPr>
        <w:widowControl/>
        <w:tabs>
          <w:tab w:val="left" w:pos="-720"/>
        </w:tabs>
        <w:autoSpaceDN/>
        <w:jc w:val="both"/>
        <w:textAlignment w:val="auto"/>
        <w:rPr>
          <w:rFonts w:ascii="Calibri" w:eastAsia="Calibri" w:hAnsi="Calibri" w:cs="Calibri"/>
          <w:b/>
          <w:kern w:val="0"/>
          <w:sz w:val="22"/>
          <w:szCs w:val="22"/>
          <w:u w:val="single"/>
          <w:lang w:eastAsia="en-US"/>
        </w:rPr>
      </w:pPr>
      <w:r w:rsidRPr="006C22FE">
        <w:rPr>
          <w:rFonts w:asciiTheme="minorHAnsi" w:eastAsia="Times New Roman" w:hAnsiTheme="minorHAnsi" w:cstheme="minorHAnsi"/>
          <w:spacing w:val="-2"/>
          <w:kern w:val="0"/>
          <w:sz w:val="22"/>
          <w:szCs w:val="22"/>
          <w:lang w:val="fr-FR" w:eastAsia="en-US"/>
        </w:rPr>
        <w:lastRenderedPageBreak/>
        <w:t xml:space="preserve">Entendu les parties présentes ou représentées en leurs dires et moyens à l’audience du </w:t>
      </w:r>
      <w:r w:rsidR="00EB2A44">
        <w:rPr>
          <w:rFonts w:asciiTheme="minorHAnsi" w:eastAsia="Times New Roman" w:hAnsiTheme="minorHAnsi" w:cstheme="minorHAnsi"/>
          <w:b/>
          <w:kern w:val="0"/>
          <w:sz w:val="22"/>
          <w:szCs w:val="22"/>
          <w:lang w:eastAsia="en-US"/>
        </w:rPr>
        <w:t>13/01/2023.</w:t>
      </w:r>
    </w:p>
    <w:p w14:paraId="2B41A3B5" w14:textId="77777777" w:rsidR="00670028" w:rsidRPr="00EB2A44" w:rsidRDefault="00670028" w:rsidP="00670028">
      <w:pPr>
        <w:widowControl/>
        <w:suppressAutoHyphens w:val="0"/>
        <w:autoSpaceDN/>
        <w:spacing w:after="160" w:line="256" w:lineRule="auto"/>
        <w:ind w:left="1080"/>
        <w:contextualSpacing/>
        <w:jc w:val="both"/>
        <w:textAlignment w:val="auto"/>
        <w:rPr>
          <w:rFonts w:ascii="Calibri" w:eastAsia="Calibri" w:hAnsi="Calibri" w:cs="Calibri"/>
          <w:b/>
          <w:kern w:val="0"/>
          <w:sz w:val="22"/>
          <w:szCs w:val="22"/>
          <w:u w:val="single"/>
          <w:lang w:eastAsia="en-US"/>
        </w:rPr>
      </w:pPr>
    </w:p>
    <w:p w14:paraId="16529301" w14:textId="77777777" w:rsidR="00670028" w:rsidRPr="00670028" w:rsidRDefault="00670028" w:rsidP="00670028">
      <w:pPr>
        <w:widowControl/>
        <w:numPr>
          <w:ilvl w:val="0"/>
          <w:numId w:val="8"/>
        </w:numPr>
        <w:suppressAutoHyphens w:val="0"/>
        <w:autoSpaceDN/>
        <w:spacing w:after="160" w:line="256" w:lineRule="auto"/>
        <w:contextualSpacing/>
        <w:jc w:val="both"/>
        <w:textAlignment w:val="auto"/>
        <w:rPr>
          <w:rFonts w:ascii="Calibri" w:eastAsia="Calibri" w:hAnsi="Calibri" w:cs="Calibri"/>
          <w:b/>
          <w:kern w:val="0"/>
          <w:sz w:val="22"/>
          <w:szCs w:val="22"/>
          <w:u w:val="single"/>
          <w:lang w:eastAsia="en-US"/>
        </w:rPr>
      </w:pPr>
      <w:r w:rsidRPr="00670028">
        <w:rPr>
          <w:rFonts w:ascii="Calibri" w:eastAsia="Calibri" w:hAnsi="Calibri" w:cs="Calibri"/>
          <w:b/>
          <w:kern w:val="0"/>
          <w:sz w:val="22"/>
          <w:szCs w:val="22"/>
          <w:u w:val="single"/>
          <w:lang w:eastAsia="en-US"/>
        </w:rPr>
        <w:t>Les faits, la position des parties et les demandes</w:t>
      </w:r>
    </w:p>
    <w:p w14:paraId="78DE5B5C" w14:textId="77777777" w:rsidR="00670028" w:rsidRPr="00670028" w:rsidRDefault="00670028" w:rsidP="00670028">
      <w:pPr>
        <w:widowControl/>
        <w:suppressAutoHyphens w:val="0"/>
        <w:autoSpaceDN/>
        <w:spacing w:after="160" w:line="256" w:lineRule="auto"/>
        <w:ind w:left="720"/>
        <w:contextualSpacing/>
        <w:jc w:val="both"/>
        <w:textAlignment w:val="auto"/>
        <w:rPr>
          <w:rFonts w:ascii="Calibri" w:eastAsia="Calibri" w:hAnsi="Calibri" w:cs="Calibri"/>
          <w:bCs/>
          <w:kern w:val="0"/>
          <w:sz w:val="22"/>
          <w:szCs w:val="22"/>
          <w:lang w:eastAsia="en-US"/>
        </w:rPr>
      </w:pPr>
    </w:p>
    <w:p w14:paraId="0563DC00"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1.</w:t>
      </w:r>
    </w:p>
    <w:p w14:paraId="62FB9DFA" w14:textId="38D8FE8E"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La S.A. PROMAS INTERNATIONAL (ci-après </w:t>
      </w:r>
      <w:r w:rsidR="003064E5">
        <w:rPr>
          <w:rFonts w:ascii="Calibri" w:eastAsia="Calibri" w:hAnsi="Calibri" w:cs="Calibri"/>
          <w:bCs/>
          <w:kern w:val="0"/>
          <w:sz w:val="22"/>
          <w:szCs w:val="22"/>
          <w:lang w:eastAsia="en-US"/>
        </w:rPr>
        <w:t>« </w:t>
      </w:r>
      <w:r w:rsidRPr="00670028">
        <w:rPr>
          <w:rFonts w:ascii="Calibri" w:eastAsia="Calibri" w:hAnsi="Calibri" w:cs="Calibri"/>
          <w:bCs/>
          <w:kern w:val="0"/>
          <w:sz w:val="22"/>
          <w:szCs w:val="22"/>
          <w:lang w:eastAsia="en-US"/>
        </w:rPr>
        <w:t>PROMAS</w:t>
      </w:r>
      <w:r w:rsidR="003064E5">
        <w:rPr>
          <w:rFonts w:ascii="Calibri" w:eastAsia="Calibri" w:hAnsi="Calibri" w:cs="Calibri"/>
          <w:bCs/>
          <w:kern w:val="0"/>
          <w:sz w:val="22"/>
          <w:szCs w:val="22"/>
          <w:lang w:eastAsia="en-US"/>
        </w:rPr>
        <w:t> »</w:t>
      </w:r>
      <w:r w:rsidRPr="00670028">
        <w:rPr>
          <w:rFonts w:ascii="Calibri" w:eastAsia="Calibri" w:hAnsi="Calibri" w:cs="Calibri"/>
          <w:bCs/>
          <w:kern w:val="0"/>
          <w:sz w:val="22"/>
          <w:szCs w:val="22"/>
          <w:lang w:eastAsia="en-US"/>
        </w:rPr>
        <w:t>) est une société active dans la réalisation et la vente de produits divers à usage publicitaire. Sous la direction de son CEO, Monsieur</w:t>
      </w:r>
      <w:r>
        <w:rPr>
          <w:rFonts w:ascii="Calibri" w:eastAsia="Calibri" w:hAnsi="Calibri" w:cs="Calibri"/>
          <w:bCs/>
          <w:kern w:val="0"/>
          <w:sz w:val="22"/>
          <w:szCs w:val="22"/>
          <w:lang w:eastAsia="en-US"/>
        </w:rPr>
        <w:t>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 le siège social de la société se situe à Wandre</w:t>
      </w:r>
      <w:r w:rsidR="003064E5">
        <w:rPr>
          <w:rFonts w:ascii="Calibri" w:eastAsia="Calibri" w:hAnsi="Calibri" w:cs="Calibri"/>
          <w:bCs/>
          <w:kern w:val="0"/>
          <w:sz w:val="22"/>
          <w:szCs w:val="22"/>
          <w:lang w:eastAsia="en-US"/>
        </w:rPr>
        <w:t xml:space="preserve">, tandis </w:t>
      </w:r>
      <w:r w:rsidRPr="00670028">
        <w:rPr>
          <w:rFonts w:ascii="Calibri" w:eastAsia="Calibri" w:hAnsi="Calibri" w:cs="Calibri"/>
          <w:bCs/>
          <w:kern w:val="0"/>
          <w:sz w:val="22"/>
          <w:szCs w:val="22"/>
          <w:lang w:eastAsia="en-US"/>
        </w:rPr>
        <w:t>elle dispose d’un siège d’exploitation en Chine.</w:t>
      </w:r>
    </w:p>
    <w:p w14:paraId="69E85F94" w14:textId="3C498ABD"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Monsieur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est engagé par la S.A. PROMAS </w:t>
      </w:r>
      <w:r w:rsidR="003064E5">
        <w:rPr>
          <w:rFonts w:ascii="Calibri" w:eastAsia="Calibri" w:hAnsi="Calibri" w:cs="Calibri"/>
          <w:bCs/>
          <w:kern w:val="0"/>
          <w:sz w:val="22"/>
          <w:szCs w:val="22"/>
          <w:lang w:eastAsia="en-US"/>
        </w:rPr>
        <w:t>en vertu</w:t>
      </w:r>
      <w:r w:rsidRPr="00670028">
        <w:rPr>
          <w:rFonts w:ascii="Calibri" w:eastAsia="Calibri" w:hAnsi="Calibri" w:cs="Calibri"/>
          <w:bCs/>
          <w:kern w:val="0"/>
          <w:sz w:val="22"/>
          <w:szCs w:val="22"/>
          <w:lang w:eastAsia="en-US"/>
        </w:rPr>
        <w:t xml:space="preserve"> d’un contrat de travail de représentant de commerce, prenant cours le 25 mars 2011. Sa fonction consiste à « </w:t>
      </w:r>
      <w:r w:rsidRPr="00670028">
        <w:rPr>
          <w:rFonts w:ascii="Calibri" w:eastAsia="Calibri" w:hAnsi="Calibri" w:cs="Calibri"/>
          <w:bCs/>
          <w:i/>
          <w:iCs/>
          <w:kern w:val="0"/>
          <w:sz w:val="22"/>
          <w:szCs w:val="22"/>
          <w:lang w:eastAsia="en-US"/>
        </w:rPr>
        <w:t>vendre des articles à usage publicitaire auprès de clientèles susceptibles d’en acheter. La clientèle est constituée par des particuliers, ASBL, société, écoles, associations. Cette liste n’est pas exhaustive.</w:t>
      </w:r>
      <w:r w:rsidRPr="00670028">
        <w:rPr>
          <w:rFonts w:ascii="Calibri" w:eastAsia="Calibri" w:hAnsi="Calibri" w:cs="Calibri"/>
          <w:bCs/>
          <w:kern w:val="0"/>
          <w:sz w:val="22"/>
          <w:szCs w:val="22"/>
          <w:lang w:eastAsia="en-US"/>
        </w:rPr>
        <w:t>»</w:t>
      </w:r>
      <w:r w:rsidRPr="00670028">
        <w:rPr>
          <w:rFonts w:ascii="Calibri" w:eastAsia="Calibri" w:hAnsi="Calibri" w:cs="Calibri"/>
          <w:bCs/>
          <w:kern w:val="0"/>
          <w:sz w:val="22"/>
          <w:szCs w:val="22"/>
          <w:vertAlign w:val="superscript"/>
          <w:lang w:eastAsia="en-US"/>
        </w:rPr>
        <w:footnoteReference w:id="1"/>
      </w:r>
      <w:r w:rsidRPr="00670028">
        <w:rPr>
          <w:rFonts w:ascii="Calibri" w:eastAsia="Calibri" w:hAnsi="Calibri" w:cs="Calibri"/>
          <w:bCs/>
          <w:kern w:val="0"/>
          <w:sz w:val="22"/>
          <w:szCs w:val="22"/>
          <w:lang w:eastAsia="en-US"/>
        </w:rPr>
        <w:t xml:space="preserve">. </w:t>
      </w:r>
    </w:p>
    <w:p w14:paraId="12A78FDA" w14:textId="4011066C"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L’article 10 du contrat de travail </w:t>
      </w:r>
      <w:r w:rsidR="003064E5">
        <w:rPr>
          <w:rFonts w:ascii="Calibri" w:eastAsia="Calibri" w:hAnsi="Calibri" w:cs="Calibri"/>
          <w:bCs/>
          <w:kern w:val="0"/>
          <w:sz w:val="22"/>
          <w:szCs w:val="22"/>
          <w:lang w:eastAsia="en-US"/>
        </w:rPr>
        <w:t xml:space="preserve">contient </w:t>
      </w:r>
      <w:r w:rsidRPr="00670028">
        <w:rPr>
          <w:rFonts w:ascii="Calibri" w:eastAsia="Calibri" w:hAnsi="Calibri" w:cs="Calibri"/>
          <w:bCs/>
          <w:kern w:val="0"/>
          <w:sz w:val="22"/>
          <w:szCs w:val="22"/>
          <w:lang w:eastAsia="en-US"/>
        </w:rPr>
        <w:t>une clause de non-concurrence, libellée comme suit :</w:t>
      </w:r>
    </w:p>
    <w:p w14:paraId="414664EE" w14:textId="77777777" w:rsidR="00670028" w:rsidRPr="00670028" w:rsidRDefault="00670028" w:rsidP="00670028">
      <w:pPr>
        <w:widowControl/>
        <w:suppressAutoHyphens w:val="0"/>
        <w:autoSpaceDN/>
        <w:spacing w:after="160" w:line="256" w:lineRule="auto"/>
        <w:ind w:left="360"/>
        <w:jc w:val="both"/>
        <w:textAlignment w:val="auto"/>
        <w:rPr>
          <w:rFonts w:ascii="Calibri" w:eastAsia="Calibri" w:hAnsi="Calibri" w:cs="Calibri"/>
          <w:i/>
          <w:iCs/>
          <w:kern w:val="0"/>
          <w:sz w:val="22"/>
          <w:szCs w:val="22"/>
          <w:shd w:val="clear" w:color="auto" w:fill="FFFFFF"/>
          <w:lang w:eastAsia="en-US"/>
        </w:rPr>
      </w:pPr>
      <w:r w:rsidRPr="00670028">
        <w:rPr>
          <w:rFonts w:ascii="Calibri" w:eastAsia="Calibri" w:hAnsi="Calibri" w:cs="Calibri"/>
          <w:i/>
          <w:iCs/>
          <w:kern w:val="0"/>
          <w:sz w:val="22"/>
          <w:szCs w:val="22"/>
          <w:shd w:val="clear" w:color="auto" w:fill="FFFFFF"/>
          <w:lang w:eastAsia="en-US"/>
        </w:rPr>
        <w:t>«Pendant une période de 12 mois à partir de la cessation du contrat, le représentant s’abstiendra d’exercer toute activité similaire à celles qui lui sont ou pourraient lui être confiées dans le cadre du présent contrat et qui feraient concurrence aux activités exercées par l’employeur. Cette clause étend ses effets sur tout le territoire où le représentant aura prospecté et/ou vendu.</w:t>
      </w:r>
    </w:p>
    <w:p w14:paraId="449AC3EB" w14:textId="77777777" w:rsidR="00670028" w:rsidRPr="00670028" w:rsidRDefault="00670028" w:rsidP="00670028">
      <w:pPr>
        <w:widowControl/>
        <w:suppressAutoHyphens w:val="0"/>
        <w:autoSpaceDN/>
        <w:spacing w:after="160" w:line="256" w:lineRule="auto"/>
        <w:ind w:left="360"/>
        <w:jc w:val="both"/>
        <w:textAlignment w:val="auto"/>
        <w:rPr>
          <w:rFonts w:ascii="Calibri" w:eastAsia="Calibri" w:hAnsi="Calibri" w:cs="Calibri"/>
          <w:bCs/>
          <w:i/>
          <w:iCs/>
          <w:kern w:val="0"/>
          <w:sz w:val="22"/>
          <w:szCs w:val="22"/>
          <w:lang w:eastAsia="en-US"/>
        </w:rPr>
      </w:pPr>
      <w:r w:rsidRPr="00670028">
        <w:rPr>
          <w:rFonts w:ascii="Calibri" w:eastAsia="Calibri" w:hAnsi="Calibri" w:cs="Calibri"/>
          <w:i/>
          <w:iCs/>
          <w:kern w:val="0"/>
          <w:sz w:val="22"/>
          <w:szCs w:val="22"/>
          <w:shd w:val="clear" w:color="auto" w:fill="FFFFFF"/>
          <w:lang w:eastAsia="en-US"/>
        </w:rPr>
        <w:t>En  cas  de  non-respect  de  cette  clause  de  non-concurrence,  le  représentant  est  redevable  à l’employeur d’une indemnité égale à trois de mois de rémunération, sans préjudice du droit à une indemnisation supérieure pour d’autres préjudices qui seraient établis»</w:t>
      </w:r>
    </w:p>
    <w:p w14:paraId="005AF6D3" w14:textId="194BBB48"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L’article 13 du même contrat prévoit une rémunération correspondant à un traitement mensuel fixe de départ, s’élevant à 1</w:t>
      </w:r>
      <w:r>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400</w:t>
      </w:r>
      <w:r>
        <w:rPr>
          <w:rFonts w:ascii="Calibri" w:eastAsia="Calibri" w:hAnsi="Calibri" w:cs="Calibri"/>
          <w:bCs/>
          <w:kern w:val="0"/>
          <w:sz w:val="22"/>
          <w:szCs w:val="22"/>
          <w:lang w:eastAsia="en-US"/>
        </w:rPr>
        <w:t>,00 </w:t>
      </w:r>
      <w:r w:rsidRPr="00670028">
        <w:rPr>
          <w:rFonts w:ascii="Calibri" w:eastAsia="Calibri" w:hAnsi="Calibri" w:cs="Calibri"/>
          <w:bCs/>
          <w:kern w:val="0"/>
          <w:sz w:val="22"/>
          <w:szCs w:val="22"/>
          <w:lang w:eastAsia="en-US"/>
        </w:rPr>
        <w:t xml:space="preserve">€, outre la mise à disposition d’une voiture de société. </w:t>
      </w:r>
    </w:p>
    <w:p w14:paraId="3CBBB812"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2.</w:t>
      </w:r>
    </w:p>
    <w:p w14:paraId="089165F5" w14:textId="5C68F3A2"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Par courrier du 29 décembre 2020, Monsieur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informe Monsieur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 xml:space="preserve"> de sa décision de mettre un terme au contrat de travail, moyennant un préavis</w:t>
      </w:r>
      <w:r w:rsidR="003064E5">
        <w:rPr>
          <w:rFonts w:ascii="Calibri" w:eastAsia="Calibri" w:hAnsi="Calibri" w:cs="Calibri"/>
          <w:bCs/>
          <w:kern w:val="0"/>
          <w:sz w:val="22"/>
          <w:szCs w:val="22"/>
          <w:lang w:eastAsia="en-US"/>
        </w:rPr>
        <w:t xml:space="preserve"> d’une durée</w:t>
      </w:r>
      <w:r w:rsidRPr="00670028">
        <w:rPr>
          <w:rFonts w:ascii="Calibri" w:eastAsia="Calibri" w:hAnsi="Calibri" w:cs="Calibri"/>
          <w:bCs/>
          <w:kern w:val="0"/>
          <w:sz w:val="22"/>
          <w:szCs w:val="22"/>
          <w:lang w:eastAsia="en-US"/>
        </w:rPr>
        <w:t xml:space="preserve"> de 13 semaines, prenant cours le 4 février 2021.</w:t>
      </w:r>
    </w:p>
    <w:p w14:paraId="4D011A94" w14:textId="6BE071BA"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Il n’est pas contesté que le contrat de travail </w:t>
      </w:r>
      <w:r w:rsidR="003064E5">
        <w:rPr>
          <w:rFonts w:ascii="Calibri" w:eastAsia="Calibri" w:hAnsi="Calibri" w:cs="Calibri"/>
          <w:bCs/>
          <w:kern w:val="0"/>
          <w:sz w:val="22"/>
          <w:szCs w:val="22"/>
          <w:lang w:eastAsia="en-US"/>
        </w:rPr>
        <w:t>prend</w:t>
      </w:r>
      <w:r w:rsidRPr="00670028">
        <w:rPr>
          <w:rFonts w:ascii="Calibri" w:eastAsia="Calibri" w:hAnsi="Calibri" w:cs="Calibri"/>
          <w:bCs/>
          <w:kern w:val="0"/>
          <w:sz w:val="22"/>
          <w:szCs w:val="22"/>
          <w:lang w:eastAsia="en-US"/>
        </w:rPr>
        <w:t xml:space="preserve"> fin le 4 avril 2021.</w:t>
      </w:r>
    </w:p>
    <w:p w14:paraId="3E6590E8" w14:textId="553C946A"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Par courriel du 1</w:t>
      </w:r>
      <w:r w:rsidRPr="00670028">
        <w:rPr>
          <w:rFonts w:ascii="Calibri" w:eastAsia="Calibri" w:hAnsi="Calibri" w:cs="Calibri"/>
          <w:bCs/>
          <w:kern w:val="0"/>
          <w:sz w:val="22"/>
          <w:szCs w:val="22"/>
          <w:vertAlign w:val="superscript"/>
          <w:lang w:eastAsia="en-US"/>
        </w:rPr>
        <w:t>er</w:t>
      </w:r>
      <w:r w:rsidRPr="00670028">
        <w:rPr>
          <w:rFonts w:ascii="Calibri" w:eastAsia="Calibri" w:hAnsi="Calibri" w:cs="Calibri"/>
          <w:bCs/>
          <w:kern w:val="0"/>
          <w:sz w:val="22"/>
          <w:szCs w:val="22"/>
          <w:lang w:eastAsia="en-US"/>
        </w:rPr>
        <w:t xml:space="preserve"> avril 2021, Monsieur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 xml:space="preserve"> sollicite </w:t>
      </w:r>
      <w:r w:rsidR="003064E5">
        <w:rPr>
          <w:rFonts w:ascii="Calibri" w:eastAsia="Calibri" w:hAnsi="Calibri" w:cs="Calibri"/>
          <w:bCs/>
          <w:kern w:val="0"/>
          <w:sz w:val="22"/>
          <w:szCs w:val="22"/>
          <w:lang w:eastAsia="en-US"/>
        </w:rPr>
        <w:t xml:space="preserve">la </w:t>
      </w:r>
      <w:r w:rsidRPr="00670028">
        <w:rPr>
          <w:rFonts w:ascii="Calibri" w:eastAsia="Calibri" w:hAnsi="Calibri" w:cs="Calibri"/>
          <w:bCs/>
          <w:kern w:val="0"/>
          <w:sz w:val="22"/>
          <w:szCs w:val="22"/>
          <w:lang w:eastAsia="en-US"/>
        </w:rPr>
        <w:t>confirmation</w:t>
      </w:r>
      <w:r w:rsidR="003064E5">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 xml:space="preserve"> auprès de Monsieur</w:t>
      </w:r>
      <w:r>
        <w:rPr>
          <w:rFonts w:ascii="Calibri" w:eastAsia="Calibri" w:hAnsi="Calibri" w:cs="Calibri"/>
          <w:bCs/>
          <w:kern w:val="0"/>
          <w:sz w:val="22"/>
          <w:szCs w:val="22"/>
          <w:lang w:eastAsia="en-US"/>
        </w:rPr>
        <w:t> </w:t>
      </w:r>
      <w:r w:rsidR="00AA321F">
        <w:rPr>
          <w:rFonts w:ascii="Calibri" w:eastAsia="Calibri" w:hAnsi="Calibri" w:cs="Calibri"/>
          <w:bCs/>
          <w:kern w:val="0"/>
          <w:sz w:val="22"/>
          <w:szCs w:val="22"/>
          <w:lang w:eastAsia="en-US"/>
        </w:rPr>
        <w:t>K</w:t>
      </w:r>
      <w:r w:rsidR="003064E5">
        <w:rPr>
          <w:rFonts w:ascii="Calibri" w:eastAsia="Calibri" w:hAnsi="Calibri" w:cs="Calibri"/>
          <w:bCs/>
          <w:kern w:val="0"/>
          <w:sz w:val="22"/>
          <w:szCs w:val="22"/>
          <w:lang w:eastAsia="en-US"/>
        </w:rPr>
        <w:t xml:space="preserve">, </w:t>
      </w:r>
      <w:r w:rsidRPr="00670028">
        <w:rPr>
          <w:rFonts w:ascii="Calibri" w:eastAsia="Calibri" w:hAnsi="Calibri" w:cs="Calibri"/>
          <w:bCs/>
          <w:kern w:val="0"/>
          <w:sz w:val="22"/>
          <w:szCs w:val="22"/>
          <w:lang w:eastAsia="en-US"/>
        </w:rPr>
        <w:t xml:space="preserve">qu’il rapportera tous les documents relatifs à son activité (offres de prix, bons de commandes, factures, courriers, échantillons, exemplaires de marchandises commandées et livrées, carte carburant, carte de visite des clients,...). </w:t>
      </w:r>
    </w:p>
    <w:p w14:paraId="5974F8C2" w14:textId="46890630"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Le 2 avril </w:t>
      </w:r>
      <w:r w:rsidR="003064E5">
        <w:rPr>
          <w:rFonts w:ascii="Calibri" w:eastAsia="Calibri" w:hAnsi="Calibri" w:cs="Calibri"/>
          <w:bCs/>
          <w:kern w:val="0"/>
          <w:sz w:val="22"/>
          <w:szCs w:val="22"/>
          <w:lang w:eastAsia="en-US"/>
        </w:rPr>
        <w:t>suivant</w:t>
      </w:r>
      <w:r w:rsidRPr="00670028">
        <w:rPr>
          <w:rFonts w:ascii="Calibri" w:eastAsia="Calibri" w:hAnsi="Calibri" w:cs="Calibri"/>
          <w:bCs/>
          <w:kern w:val="0"/>
          <w:sz w:val="22"/>
          <w:szCs w:val="22"/>
          <w:lang w:eastAsia="en-US"/>
        </w:rPr>
        <w:t xml:space="preserve">, Monsieur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adresse un courriel à une multitude de destinataires pour les informer de son départ de chez PROMAS. Il précise que Monsieur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 xml:space="preserve"> sera la personne de contact après son départ</w:t>
      </w:r>
      <w:r w:rsidR="003064E5">
        <w:rPr>
          <w:rFonts w:ascii="Calibri" w:eastAsia="Calibri" w:hAnsi="Calibri" w:cs="Calibri"/>
          <w:bCs/>
          <w:kern w:val="0"/>
          <w:sz w:val="22"/>
          <w:szCs w:val="22"/>
          <w:lang w:eastAsia="en-US"/>
        </w:rPr>
        <w:t> ;</w:t>
      </w:r>
      <w:r w:rsidRPr="00670028">
        <w:rPr>
          <w:rFonts w:ascii="Calibri" w:eastAsia="Calibri" w:hAnsi="Calibri" w:cs="Calibri"/>
          <w:bCs/>
          <w:kern w:val="0"/>
          <w:sz w:val="22"/>
          <w:szCs w:val="22"/>
          <w:lang w:eastAsia="en-US"/>
        </w:rPr>
        <w:t xml:space="preserve"> « </w:t>
      </w:r>
      <w:r w:rsidRPr="00670028">
        <w:rPr>
          <w:rFonts w:ascii="Calibri" w:eastAsia="Calibri" w:hAnsi="Calibri" w:cs="Calibri"/>
          <w:bCs/>
          <w:i/>
          <w:iCs/>
          <w:kern w:val="0"/>
          <w:sz w:val="22"/>
          <w:szCs w:val="22"/>
          <w:lang w:eastAsia="en-US"/>
        </w:rPr>
        <w:t>ceci jusqu’à la fin de cette période covid et de l’engagement d’une personne pour me remplacer</w:t>
      </w:r>
      <w:r w:rsidRPr="00670028">
        <w:rPr>
          <w:rFonts w:ascii="Calibri" w:eastAsia="Calibri" w:hAnsi="Calibri" w:cs="Calibri"/>
          <w:bCs/>
          <w:kern w:val="0"/>
          <w:sz w:val="22"/>
          <w:szCs w:val="22"/>
          <w:lang w:eastAsia="en-US"/>
        </w:rPr>
        <w:t xml:space="preserve"> », et communique l’adresse e-mail de </w:t>
      </w:r>
      <w:r w:rsidR="00024C5B">
        <w:rPr>
          <w:rFonts w:ascii="Calibri" w:eastAsia="Calibri" w:hAnsi="Calibri" w:cs="Calibri"/>
          <w:bCs/>
          <w:kern w:val="0"/>
          <w:sz w:val="22"/>
          <w:szCs w:val="22"/>
          <w:lang w:eastAsia="en-US"/>
        </w:rPr>
        <w:t>M</w:t>
      </w:r>
      <w:r w:rsidRPr="00670028">
        <w:rPr>
          <w:rFonts w:ascii="Calibri" w:eastAsia="Calibri" w:hAnsi="Calibri" w:cs="Calibri"/>
          <w:bCs/>
          <w:kern w:val="0"/>
          <w:sz w:val="22"/>
          <w:szCs w:val="22"/>
          <w:lang w:eastAsia="en-US"/>
        </w:rPr>
        <w:t xml:space="preserve">onsieur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vertAlign w:val="superscript"/>
          <w:lang w:eastAsia="en-US"/>
        </w:rPr>
        <w:footnoteReference w:id="2"/>
      </w:r>
      <w:r w:rsidRPr="00670028">
        <w:rPr>
          <w:rFonts w:ascii="Calibri" w:eastAsia="Calibri" w:hAnsi="Calibri" w:cs="Calibri"/>
          <w:bCs/>
          <w:kern w:val="0"/>
          <w:sz w:val="22"/>
          <w:szCs w:val="22"/>
          <w:lang w:eastAsia="en-US"/>
        </w:rPr>
        <w:t>.</w:t>
      </w:r>
    </w:p>
    <w:p w14:paraId="77781A91" w14:textId="069EA662"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Le 17 avril suivant, Monsieur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répond de manière circonstanciée à la demande de son ancien employeur en précisant l’endroit où chaque document/objet se trouve. </w:t>
      </w:r>
    </w:p>
    <w:p w14:paraId="55A022B0" w14:textId="6EA67A3D"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Par courrier du 11 mai 2021, Monsieur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 xml:space="preserve"> invite son ancien représentant de commerce à lui confirmer qu’il n’a emporté aucune copie, sous forme de papiers ou de mails, de l’un ou l’autre documents relatifs à son activité au sein de la société PROMAS</w:t>
      </w:r>
      <w:r w:rsidR="003064E5">
        <w:rPr>
          <w:rFonts w:ascii="Calibri" w:eastAsia="Calibri" w:hAnsi="Calibri" w:cs="Calibri"/>
          <w:bCs/>
          <w:kern w:val="0"/>
          <w:sz w:val="22"/>
          <w:szCs w:val="22"/>
          <w:lang w:eastAsia="en-US"/>
        </w:rPr>
        <w:t xml:space="preserve"> (notamment le listing des clients)</w:t>
      </w:r>
      <w:r w:rsidRPr="00670028">
        <w:rPr>
          <w:rFonts w:ascii="Calibri" w:eastAsia="Calibri" w:hAnsi="Calibri" w:cs="Calibri"/>
          <w:bCs/>
          <w:kern w:val="0"/>
          <w:sz w:val="22"/>
          <w:szCs w:val="22"/>
          <w:lang w:eastAsia="en-US"/>
        </w:rPr>
        <w:t>.</w:t>
      </w:r>
    </w:p>
    <w:p w14:paraId="7B5F9712" w14:textId="1DA2BD7D"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3.</w:t>
      </w:r>
    </w:p>
    <w:p w14:paraId="1D338547" w14:textId="3132252E"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Dans le dossier de pièces de Monsieur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figure un contrat de travail de représentant de commerce, non signé mais daté du 18 décembre 2020, entre ce dernier et la S.R.L MLD CONCEPT (ci-après </w:t>
      </w:r>
      <w:r w:rsidR="003064E5">
        <w:rPr>
          <w:rFonts w:ascii="Calibri" w:eastAsia="Calibri" w:hAnsi="Calibri" w:cs="Calibri"/>
          <w:bCs/>
          <w:kern w:val="0"/>
          <w:sz w:val="22"/>
          <w:szCs w:val="22"/>
          <w:lang w:eastAsia="en-US"/>
        </w:rPr>
        <w:t>« </w:t>
      </w:r>
      <w:r w:rsidRPr="00670028">
        <w:rPr>
          <w:rFonts w:ascii="Calibri" w:eastAsia="Calibri" w:hAnsi="Calibri" w:cs="Calibri"/>
          <w:bCs/>
          <w:kern w:val="0"/>
          <w:sz w:val="22"/>
          <w:szCs w:val="22"/>
          <w:lang w:eastAsia="en-US"/>
        </w:rPr>
        <w:t>MLD CONCEPT</w:t>
      </w:r>
      <w:r w:rsidR="003064E5">
        <w:rPr>
          <w:rFonts w:ascii="Calibri" w:eastAsia="Calibri" w:hAnsi="Calibri" w:cs="Calibri"/>
          <w:bCs/>
          <w:kern w:val="0"/>
          <w:sz w:val="22"/>
          <w:szCs w:val="22"/>
          <w:lang w:eastAsia="en-US"/>
        </w:rPr>
        <w:t> »</w:t>
      </w:r>
      <w:r w:rsidRPr="00670028">
        <w:rPr>
          <w:rFonts w:ascii="Calibri" w:eastAsia="Calibri" w:hAnsi="Calibri" w:cs="Calibri"/>
          <w:bCs/>
          <w:kern w:val="0"/>
          <w:sz w:val="22"/>
          <w:szCs w:val="22"/>
          <w:lang w:eastAsia="en-US"/>
        </w:rPr>
        <w:t>)</w:t>
      </w:r>
      <w:r w:rsidRPr="00670028">
        <w:rPr>
          <w:rFonts w:ascii="Calibri" w:eastAsia="Calibri" w:hAnsi="Calibri" w:cs="Calibri"/>
          <w:bCs/>
          <w:kern w:val="0"/>
          <w:sz w:val="22"/>
          <w:szCs w:val="22"/>
          <w:vertAlign w:val="superscript"/>
          <w:lang w:eastAsia="en-US"/>
        </w:rPr>
        <w:footnoteReference w:id="3"/>
      </w:r>
      <w:r w:rsidRPr="00670028">
        <w:rPr>
          <w:rFonts w:ascii="Calibri" w:eastAsia="Calibri" w:hAnsi="Calibri" w:cs="Calibri"/>
          <w:bCs/>
          <w:kern w:val="0"/>
          <w:sz w:val="22"/>
          <w:szCs w:val="22"/>
          <w:lang w:eastAsia="en-US"/>
        </w:rPr>
        <w:t xml:space="preserve">. </w:t>
      </w:r>
    </w:p>
    <w:p w14:paraId="5C8CB275" w14:textId="0F3E5739"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MLD CONCEPT est une société dont le siège social se situe à Sprimont et dont l’activité commerciale est identique à celle de la société PROMAS ; elle est active dans le domaine du «</w:t>
      </w:r>
      <w:r w:rsidRPr="00670028">
        <w:rPr>
          <w:rFonts w:ascii="Calibri" w:eastAsia="Calibri" w:hAnsi="Calibri" w:cs="Calibri"/>
          <w:bCs/>
          <w:i/>
          <w:iCs/>
          <w:kern w:val="0"/>
          <w:sz w:val="22"/>
          <w:szCs w:val="22"/>
          <w:lang w:val="fr-FR" w:eastAsia="en-US"/>
        </w:rPr>
        <w:t>Product Media</w:t>
      </w:r>
      <w:r w:rsidRPr="00670028">
        <w:rPr>
          <w:rFonts w:ascii="Calibri" w:eastAsia="Calibri" w:hAnsi="Calibri" w:cs="Calibri"/>
          <w:bCs/>
          <w:kern w:val="0"/>
          <w:sz w:val="22"/>
          <w:szCs w:val="22"/>
          <w:lang w:val="fr-FR" w:eastAsia="en-US"/>
        </w:rPr>
        <w:t>» (la communication par l’objet</w:t>
      </w:r>
      <w:r w:rsidR="003064E5">
        <w:rPr>
          <w:rFonts w:ascii="Calibri" w:eastAsia="Calibri" w:hAnsi="Calibri" w:cs="Calibri"/>
          <w:bCs/>
          <w:kern w:val="0"/>
          <w:sz w:val="22"/>
          <w:szCs w:val="22"/>
          <w:lang w:val="fr-FR" w:eastAsia="en-US"/>
        </w:rPr>
        <w:t>, autrement dit,</w:t>
      </w:r>
      <w:r w:rsidRPr="00670028">
        <w:rPr>
          <w:rFonts w:ascii="Calibri" w:eastAsia="Calibri" w:hAnsi="Calibri" w:cs="Calibri"/>
          <w:bCs/>
          <w:kern w:val="0"/>
          <w:sz w:val="22"/>
          <w:szCs w:val="22"/>
          <w:lang w:val="fr-FR" w:eastAsia="en-US"/>
        </w:rPr>
        <w:t xml:space="preserve"> des articles à usage publicitaire). </w:t>
      </w:r>
    </w:p>
    <w:p w14:paraId="1CA71F27" w14:textId="790F39DD"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L’article 20 </w:t>
      </w:r>
      <w:r w:rsidR="00472F84">
        <w:rPr>
          <w:rFonts w:ascii="Calibri" w:eastAsia="Calibri" w:hAnsi="Calibri" w:cs="Calibri"/>
          <w:bCs/>
          <w:kern w:val="0"/>
          <w:sz w:val="22"/>
          <w:szCs w:val="22"/>
          <w:lang w:eastAsia="en-US"/>
        </w:rPr>
        <w:t>de ce contrat de travail</w:t>
      </w:r>
      <w:r w:rsidRPr="00670028">
        <w:rPr>
          <w:rFonts w:ascii="Calibri" w:eastAsia="Calibri" w:hAnsi="Calibri" w:cs="Calibri"/>
          <w:bCs/>
          <w:kern w:val="0"/>
          <w:sz w:val="22"/>
          <w:szCs w:val="22"/>
          <w:lang w:eastAsia="en-US"/>
        </w:rPr>
        <w:t xml:space="preserve"> prévoit une clause de non-concurrence, dont le contenu est similaire à celle convenue</w:t>
      </w:r>
      <w:r w:rsidR="00472F84">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 xml:space="preserve"> </w:t>
      </w:r>
      <w:r w:rsidR="00472F84">
        <w:rPr>
          <w:rFonts w:ascii="Calibri" w:eastAsia="Calibri" w:hAnsi="Calibri" w:cs="Calibri"/>
          <w:bCs/>
          <w:kern w:val="0"/>
          <w:sz w:val="22"/>
          <w:szCs w:val="22"/>
          <w:lang w:eastAsia="en-US"/>
        </w:rPr>
        <w:t xml:space="preserve">en sons temps, </w:t>
      </w:r>
      <w:r w:rsidRPr="00670028">
        <w:rPr>
          <w:rFonts w:ascii="Calibri" w:eastAsia="Calibri" w:hAnsi="Calibri" w:cs="Calibri"/>
          <w:bCs/>
          <w:kern w:val="0"/>
          <w:sz w:val="22"/>
          <w:szCs w:val="22"/>
          <w:lang w:eastAsia="en-US"/>
        </w:rPr>
        <w:t>avec PROMAS.</w:t>
      </w:r>
    </w:p>
    <w:p w14:paraId="5262DD2E" w14:textId="2037C5A3"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En termes de plaidoiries, alors que le contrat signé n’est déposé par aucune des parties, ces dernières soutiennent que le contrat de travail entre Monsieur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et la S.R.L. MLD CONCEPT a pris cours le 5 avril 2021. </w:t>
      </w:r>
    </w:p>
    <w:p w14:paraId="35CC0886"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Il n’est pas contesté que la société MLD CONCEPT et PROMAS sont concurrentes, dans un secteur géographique identique. </w:t>
      </w:r>
    </w:p>
    <w:p w14:paraId="6F6FDC36"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4.</w:t>
      </w:r>
    </w:p>
    <w:p w14:paraId="315FF429" w14:textId="7210F1C2"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Par courrier recommandé du 22 juin 2021, la société PROMAS met en demeure Monsieur</w:t>
      </w:r>
      <w:r w:rsidR="00024C5B">
        <w:rPr>
          <w:rFonts w:ascii="Calibri" w:eastAsia="Calibri" w:hAnsi="Calibri" w:cs="Calibri"/>
          <w:bCs/>
          <w:kern w:val="0"/>
          <w:sz w:val="22"/>
          <w:szCs w:val="22"/>
          <w:lang w:val="fr-FR" w:eastAsia="en-US"/>
        </w:rPr>
        <w:t>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de lui payer l’indemnité forfaitaire de non-concurrence, visée à l’article 10 précité du contrat de travail</w:t>
      </w:r>
      <w:r w:rsidR="00472F84">
        <w:rPr>
          <w:rFonts w:ascii="Calibri" w:eastAsia="Calibri" w:hAnsi="Calibri" w:cs="Calibri"/>
          <w:bCs/>
          <w:kern w:val="0"/>
          <w:sz w:val="22"/>
          <w:szCs w:val="22"/>
          <w:lang w:val="fr-FR" w:eastAsia="en-US"/>
        </w:rPr>
        <w:t xml:space="preserve">. </w:t>
      </w:r>
    </w:p>
    <w:p w14:paraId="49269C24" w14:textId="69A41D6E"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Dans ce courrier, le conseil de la société reproduit textuellement cette disposition contractuelle et chiffre, à titre provisionnel, l’indemnité due à la somme de 23.963,35</w:t>
      </w:r>
      <w:r w:rsidR="00024C5B">
        <w:rPr>
          <w:rFonts w:ascii="Calibri" w:eastAsia="Calibri" w:hAnsi="Calibri" w:cs="Calibri"/>
          <w:bCs/>
          <w:kern w:val="0"/>
          <w:sz w:val="22"/>
          <w:szCs w:val="22"/>
          <w:lang w:val="fr-FR" w:eastAsia="en-US"/>
        </w:rPr>
        <w:t> </w:t>
      </w:r>
      <w:r w:rsidRPr="00670028">
        <w:rPr>
          <w:rFonts w:ascii="Calibri" w:eastAsia="Calibri" w:hAnsi="Calibri" w:cs="Calibri"/>
          <w:bCs/>
          <w:kern w:val="0"/>
          <w:sz w:val="22"/>
          <w:szCs w:val="22"/>
          <w:lang w:val="fr-FR" w:eastAsia="en-US"/>
        </w:rPr>
        <w:t>€, calculée sur la base d’une rémunération annuelle de 95.853,40</w:t>
      </w:r>
      <w:r w:rsidR="00024C5B">
        <w:rPr>
          <w:rFonts w:ascii="Calibri" w:eastAsia="Calibri" w:hAnsi="Calibri" w:cs="Calibri"/>
          <w:bCs/>
          <w:kern w:val="0"/>
          <w:sz w:val="22"/>
          <w:szCs w:val="22"/>
          <w:lang w:val="fr-FR" w:eastAsia="en-US"/>
        </w:rPr>
        <w:t> </w:t>
      </w:r>
      <w:r w:rsidRPr="00670028">
        <w:rPr>
          <w:rFonts w:ascii="Calibri" w:eastAsia="Calibri" w:hAnsi="Calibri" w:cs="Calibri"/>
          <w:bCs/>
          <w:kern w:val="0"/>
          <w:sz w:val="22"/>
          <w:szCs w:val="22"/>
          <w:lang w:val="fr-FR" w:eastAsia="en-US"/>
        </w:rPr>
        <w:t xml:space="preserve">€. </w:t>
      </w:r>
    </w:p>
    <w:p w14:paraId="6940E359" w14:textId="152B0C6E"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Il est reproché à Monsieur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d’avoir eu plusieurs contacts avec des clients de la société PROMAS, en vue de leur proposer l’achat de cadeaux d’affaires pour le compte de son nouvel employeur MLD CONCEPT.</w:t>
      </w:r>
    </w:p>
    <w:p w14:paraId="795EB81A" w14:textId="27035AB6"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La société PROMAS adresse, le même jour, un courrier recommandé à la société concurrente MLD CONCEPT aux termes duquel elle l’invite à « </w:t>
      </w:r>
      <w:r w:rsidRPr="00670028">
        <w:rPr>
          <w:rFonts w:ascii="Calibri" w:eastAsia="Calibri" w:hAnsi="Calibri" w:cs="Calibri"/>
          <w:bCs/>
          <w:i/>
          <w:iCs/>
          <w:kern w:val="0"/>
          <w:sz w:val="22"/>
          <w:szCs w:val="22"/>
          <w:lang w:val="fr-FR" w:eastAsia="en-US"/>
        </w:rPr>
        <w:t xml:space="preserve">cesser de participer, directement ou indirectement, par quelque moyen que ce soit, à la violation, par Monsieur Jean-François </w:t>
      </w:r>
      <w:r w:rsidR="00AA321F">
        <w:rPr>
          <w:rFonts w:ascii="Calibri" w:eastAsia="Calibri" w:hAnsi="Calibri" w:cs="Calibri"/>
          <w:bCs/>
          <w:i/>
          <w:iCs/>
          <w:kern w:val="0"/>
          <w:sz w:val="22"/>
          <w:szCs w:val="22"/>
          <w:lang w:val="fr-FR" w:eastAsia="en-US"/>
        </w:rPr>
        <w:t>K</w:t>
      </w:r>
      <w:r w:rsidRPr="00670028">
        <w:rPr>
          <w:rFonts w:ascii="Calibri" w:eastAsia="Calibri" w:hAnsi="Calibri" w:cs="Calibri"/>
          <w:bCs/>
          <w:i/>
          <w:iCs/>
          <w:kern w:val="0"/>
          <w:sz w:val="22"/>
          <w:szCs w:val="22"/>
          <w:lang w:val="fr-FR" w:eastAsia="en-US"/>
        </w:rPr>
        <w:t>, de l’obligation de non-concurrence à laquelle il reste tenu en vertu du contrat de travail qui ne liait à la S.A. PROMAS INTERNATIONAL, en s’abstenant, notamment, de prendre contact, par tous moyens généralement quelconques, avec la clientèle de la SA PROMAS INTERNATIONAL en vue de lui présenter ses produits </w:t>
      </w:r>
      <w:r w:rsidRPr="00670028">
        <w:rPr>
          <w:rFonts w:ascii="Calibri" w:eastAsia="Calibri" w:hAnsi="Calibri" w:cs="Calibri"/>
          <w:bCs/>
          <w:kern w:val="0"/>
          <w:sz w:val="22"/>
          <w:szCs w:val="22"/>
          <w:lang w:val="fr-FR" w:eastAsia="en-US"/>
        </w:rPr>
        <w:t xml:space="preserve">». </w:t>
      </w:r>
    </w:p>
    <w:p w14:paraId="41C9B76E"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Le courrier reprend également la retranscription de l’article 10 du contrat de travail.</w:t>
      </w:r>
    </w:p>
    <w:p w14:paraId="728EC5B5" w14:textId="2BBDB4D8" w:rsid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Le 8 juillet 2021, le conseil de la société PROMAS adresse au conseil de la société MLD CONCEPT, une copie du contrat de travail de représentant de commerce de Monsieur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w:t>
      </w:r>
    </w:p>
    <w:p w14:paraId="6A43AD48"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5.</w:t>
      </w:r>
    </w:p>
    <w:p w14:paraId="415B9F2A" w14:textId="61F73C84"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Par citation introductive d’instance, signifiée le 5 janvier 2022 à Monsieur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et à la société MLD CONCEPT, </w:t>
      </w:r>
      <w:r w:rsidRPr="00670028">
        <w:rPr>
          <w:rFonts w:ascii="Calibri" w:eastAsia="Calibri" w:hAnsi="Calibri" w:cs="Calibri"/>
          <w:b/>
          <w:kern w:val="0"/>
          <w:sz w:val="22"/>
          <w:szCs w:val="22"/>
          <w:lang w:val="fr-FR" w:eastAsia="en-US"/>
        </w:rPr>
        <w:t>la société PROMAS</w:t>
      </w:r>
      <w:r w:rsidRPr="00670028">
        <w:rPr>
          <w:rFonts w:ascii="Calibri" w:eastAsia="Calibri" w:hAnsi="Calibri" w:cs="Calibri"/>
          <w:bCs/>
          <w:kern w:val="0"/>
          <w:sz w:val="22"/>
          <w:szCs w:val="22"/>
          <w:lang w:val="fr-FR" w:eastAsia="en-US"/>
        </w:rPr>
        <w:t xml:space="preserve"> introduit la présente procédure. </w:t>
      </w:r>
    </w:p>
    <w:p w14:paraId="72F5D955" w14:textId="65A361A8"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val="fr-FR" w:eastAsia="en-US"/>
        </w:rPr>
      </w:pPr>
      <w:r w:rsidRPr="00670028">
        <w:rPr>
          <w:rFonts w:ascii="Calibri" w:eastAsia="Calibri" w:hAnsi="Calibri" w:cs="Calibri"/>
          <w:kern w:val="0"/>
          <w:sz w:val="22"/>
          <w:szCs w:val="22"/>
          <w:lang w:val="fr-FR" w:eastAsia="en-US"/>
        </w:rPr>
        <w:t xml:space="preserve">Dans le dispositif de ses conclusions additionnelles valant conclusions de synthèse, </w:t>
      </w:r>
      <w:r w:rsidR="00472F84">
        <w:rPr>
          <w:rFonts w:ascii="Calibri" w:eastAsia="Calibri" w:hAnsi="Calibri" w:cs="Calibri"/>
          <w:kern w:val="0"/>
          <w:sz w:val="22"/>
          <w:szCs w:val="22"/>
          <w:lang w:val="fr-FR" w:eastAsia="en-US"/>
        </w:rPr>
        <w:t xml:space="preserve">elle </w:t>
      </w:r>
      <w:r w:rsidRPr="00670028">
        <w:rPr>
          <w:rFonts w:ascii="Calibri" w:eastAsia="Calibri" w:hAnsi="Calibri" w:cs="Calibri"/>
          <w:kern w:val="0"/>
          <w:sz w:val="22"/>
          <w:szCs w:val="22"/>
          <w:lang w:val="fr-FR" w:eastAsia="en-US"/>
        </w:rPr>
        <w:t xml:space="preserve">sollicite, outre la condamnation </w:t>
      </w:r>
      <w:r w:rsidR="00472F84">
        <w:rPr>
          <w:rFonts w:ascii="Calibri" w:eastAsia="Calibri" w:hAnsi="Calibri" w:cs="Calibri"/>
          <w:kern w:val="0"/>
          <w:sz w:val="22"/>
          <w:szCs w:val="22"/>
          <w:lang w:val="fr-FR" w:eastAsia="en-US"/>
        </w:rPr>
        <w:t xml:space="preserve">des défendeurs </w:t>
      </w:r>
      <w:r w:rsidRPr="00670028">
        <w:rPr>
          <w:rFonts w:ascii="Calibri" w:eastAsia="Calibri" w:hAnsi="Calibri" w:cs="Calibri"/>
          <w:kern w:val="0"/>
          <w:sz w:val="22"/>
          <w:szCs w:val="22"/>
          <w:lang w:val="fr-FR" w:eastAsia="en-US"/>
        </w:rPr>
        <w:t>aux dépens :</w:t>
      </w:r>
    </w:p>
    <w:p w14:paraId="5C9F923B" w14:textId="08AE445F" w:rsidR="00670028" w:rsidRPr="00670028" w:rsidRDefault="00670028" w:rsidP="00670028">
      <w:pPr>
        <w:widowControl/>
        <w:numPr>
          <w:ilvl w:val="0"/>
          <w:numId w:val="9"/>
        </w:numPr>
        <w:suppressAutoHyphens w:val="0"/>
        <w:autoSpaceDN/>
        <w:spacing w:after="160" w:line="256" w:lineRule="auto"/>
        <w:contextualSpacing/>
        <w:jc w:val="both"/>
        <w:textAlignment w:val="auto"/>
        <w:rPr>
          <w:rFonts w:ascii="Calibri" w:eastAsia="Times New Roman" w:hAnsi="Calibri" w:cs="Calibri"/>
          <w:kern w:val="0"/>
          <w:lang w:val="fr-FR" w:eastAsia="fr-FR"/>
        </w:rPr>
      </w:pPr>
      <w:r w:rsidRPr="00670028">
        <w:rPr>
          <w:rFonts w:ascii="Calibri" w:eastAsia="Times New Roman" w:hAnsi="Calibri" w:cs="Calibri"/>
          <w:kern w:val="0"/>
          <w:sz w:val="22"/>
          <w:szCs w:val="22"/>
          <w:lang w:val="fr-FR" w:eastAsia="fr-FR"/>
        </w:rPr>
        <w:t xml:space="preserve">La condamnation de Monsieur </w:t>
      </w:r>
      <w:r w:rsidR="00AA321F">
        <w:rPr>
          <w:rFonts w:ascii="Calibri" w:eastAsia="Times New Roman" w:hAnsi="Calibri" w:cs="Calibri"/>
          <w:kern w:val="0"/>
          <w:sz w:val="22"/>
          <w:szCs w:val="22"/>
          <w:lang w:val="fr-FR" w:eastAsia="fr-FR"/>
        </w:rPr>
        <w:t>K</w:t>
      </w:r>
      <w:r w:rsidRPr="00670028">
        <w:rPr>
          <w:rFonts w:ascii="Calibri" w:eastAsia="Times New Roman" w:hAnsi="Calibri" w:cs="Calibri"/>
          <w:kern w:val="0"/>
          <w:sz w:val="22"/>
          <w:szCs w:val="22"/>
          <w:lang w:val="fr-FR" w:eastAsia="fr-FR"/>
        </w:rPr>
        <w:t xml:space="preserve"> et de la SRL MLD CONCEPT, solidairement ou in solidum, et l’un à défaut de l’autre, à payer en mains de la S.A. PROMAS INTERNATIONAL la somme en principal de 23.963,35€ au titre d’indemnité de non-concurrence, à majorer </w:t>
      </w:r>
      <w:r w:rsidR="00024C5B">
        <w:rPr>
          <w:rFonts w:ascii="Calibri" w:eastAsia="Times New Roman" w:hAnsi="Calibri" w:cs="Calibri"/>
          <w:kern w:val="0"/>
          <w:sz w:val="22"/>
          <w:szCs w:val="22"/>
          <w:lang w:val="fr-FR" w:eastAsia="fr-FR"/>
        </w:rPr>
        <w:t>d</w:t>
      </w:r>
      <w:r w:rsidRPr="00670028">
        <w:rPr>
          <w:rFonts w:ascii="Calibri" w:eastAsia="Times New Roman" w:hAnsi="Calibri" w:cs="Calibri"/>
          <w:kern w:val="0"/>
          <w:sz w:val="22"/>
          <w:szCs w:val="22"/>
          <w:lang w:val="fr-FR" w:eastAsia="fr-FR"/>
        </w:rPr>
        <w:t>es intérêts calculés au taux légal depuis la date de rupture des relations contractuelles entre parties jusqu’à complet paiement.</w:t>
      </w:r>
    </w:p>
    <w:p w14:paraId="70B9C11D" w14:textId="7CF3F200" w:rsidR="00670028" w:rsidRPr="00670028" w:rsidRDefault="00670028" w:rsidP="00670028">
      <w:pPr>
        <w:widowControl/>
        <w:numPr>
          <w:ilvl w:val="0"/>
          <w:numId w:val="9"/>
        </w:numPr>
        <w:suppressAutoHyphens w:val="0"/>
        <w:autoSpaceDN/>
        <w:spacing w:after="160" w:line="256" w:lineRule="auto"/>
        <w:contextualSpacing/>
        <w:jc w:val="both"/>
        <w:textAlignment w:val="auto"/>
        <w:rPr>
          <w:rFonts w:ascii="Calibri" w:eastAsia="Times New Roman" w:hAnsi="Calibri" w:cs="Calibri"/>
          <w:kern w:val="0"/>
          <w:lang w:val="fr-FR" w:eastAsia="fr-FR"/>
        </w:rPr>
      </w:pPr>
      <w:r w:rsidRPr="00670028">
        <w:rPr>
          <w:rFonts w:ascii="Calibri" w:eastAsia="Times New Roman" w:hAnsi="Calibri" w:cs="Calibri"/>
          <w:kern w:val="0"/>
          <w:sz w:val="22"/>
          <w:szCs w:val="22"/>
          <w:lang w:val="fr-FR" w:eastAsia="fr-FR"/>
        </w:rPr>
        <w:t xml:space="preserve">La condamnation de Monsieur </w:t>
      </w:r>
      <w:r w:rsidR="00AA321F">
        <w:rPr>
          <w:rFonts w:ascii="Calibri" w:eastAsia="Times New Roman" w:hAnsi="Calibri" w:cs="Calibri"/>
          <w:kern w:val="0"/>
          <w:sz w:val="22"/>
          <w:szCs w:val="22"/>
          <w:lang w:val="fr-FR" w:eastAsia="fr-FR"/>
        </w:rPr>
        <w:t>K</w:t>
      </w:r>
      <w:r w:rsidRPr="00670028">
        <w:rPr>
          <w:rFonts w:ascii="Calibri" w:eastAsia="Times New Roman" w:hAnsi="Calibri" w:cs="Calibri"/>
          <w:kern w:val="0"/>
          <w:sz w:val="22"/>
          <w:szCs w:val="22"/>
          <w:lang w:val="fr-FR" w:eastAsia="fr-FR"/>
        </w:rPr>
        <w:t xml:space="preserve"> et la SRL MLD CONCEPT, solidairement ou in solidum, e</w:t>
      </w:r>
      <w:r w:rsidR="00024C5B">
        <w:rPr>
          <w:rFonts w:ascii="Calibri" w:eastAsia="Times New Roman" w:hAnsi="Calibri" w:cs="Calibri"/>
          <w:kern w:val="0"/>
          <w:sz w:val="22"/>
          <w:szCs w:val="22"/>
          <w:lang w:val="fr-FR" w:eastAsia="fr-FR"/>
        </w:rPr>
        <w:t>t</w:t>
      </w:r>
      <w:r w:rsidRPr="00670028">
        <w:rPr>
          <w:rFonts w:ascii="Calibri" w:eastAsia="Times New Roman" w:hAnsi="Calibri" w:cs="Calibri"/>
          <w:kern w:val="0"/>
          <w:sz w:val="22"/>
          <w:szCs w:val="22"/>
          <w:lang w:val="fr-FR" w:eastAsia="fr-FR"/>
        </w:rPr>
        <w:t xml:space="preserve"> l’un à défaut de l’autre, au paiement de la somme de 1</w:t>
      </w:r>
      <w:r w:rsidR="00024C5B">
        <w:rPr>
          <w:rFonts w:ascii="Calibri" w:eastAsia="Times New Roman" w:hAnsi="Calibri" w:cs="Calibri"/>
          <w:kern w:val="0"/>
          <w:sz w:val="22"/>
          <w:szCs w:val="22"/>
          <w:lang w:val="fr-FR" w:eastAsia="fr-FR"/>
        </w:rPr>
        <w:t> </w:t>
      </w:r>
      <w:r w:rsidRPr="00670028">
        <w:rPr>
          <w:rFonts w:ascii="Calibri" w:eastAsia="Times New Roman" w:hAnsi="Calibri" w:cs="Calibri"/>
          <w:kern w:val="0"/>
          <w:sz w:val="22"/>
          <w:szCs w:val="22"/>
          <w:lang w:val="fr-FR" w:eastAsia="fr-FR"/>
        </w:rPr>
        <w:t xml:space="preserve">€ provisionnel au titre de dommages et intérêts correspondant au préjudice réellement subi par la S.A. PROMAS INTERNATIONAL ensuite de la violation, par Monsieur </w:t>
      </w:r>
      <w:r w:rsidR="00AA321F">
        <w:rPr>
          <w:rFonts w:ascii="Calibri" w:eastAsia="Times New Roman" w:hAnsi="Calibri" w:cs="Calibri"/>
          <w:kern w:val="0"/>
          <w:sz w:val="22"/>
          <w:szCs w:val="22"/>
          <w:lang w:val="fr-FR" w:eastAsia="fr-FR"/>
        </w:rPr>
        <w:t>K</w:t>
      </w:r>
      <w:r w:rsidRPr="00670028">
        <w:rPr>
          <w:rFonts w:ascii="Calibri" w:eastAsia="Times New Roman" w:hAnsi="Calibri" w:cs="Calibri"/>
          <w:kern w:val="0"/>
          <w:sz w:val="22"/>
          <w:szCs w:val="22"/>
          <w:lang w:val="fr-FR" w:eastAsia="fr-FR"/>
        </w:rPr>
        <w:t>, de la clause de non-concurrence qui liait les parties.</w:t>
      </w:r>
    </w:p>
    <w:p w14:paraId="21327404" w14:textId="3A907BEF" w:rsidR="00670028" w:rsidRPr="00670028" w:rsidRDefault="00670028" w:rsidP="00670028">
      <w:pPr>
        <w:widowControl/>
        <w:numPr>
          <w:ilvl w:val="0"/>
          <w:numId w:val="9"/>
        </w:numPr>
        <w:suppressAutoHyphens w:val="0"/>
        <w:autoSpaceDN/>
        <w:spacing w:after="160" w:line="256" w:lineRule="auto"/>
        <w:contextualSpacing/>
        <w:jc w:val="both"/>
        <w:textAlignment w:val="auto"/>
        <w:rPr>
          <w:rFonts w:ascii="Calibri" w:eastAsia="Times New Roman" w:hAnsi="Calibri" w:cs="Calibri"/>
          <w:kern w:val="0"/>
          <w:lang w:val="fr-FR" w:eastAsia="fr-FR"/>
        </w:rPr>
      </w:pPr>
      <w:r w:rsidRPr="00670028">
        <w:rPr>
          <w:rFonts w:ascii="Calibri" w:eastAsia="Times New Roman" w:hAnsi="Calibri" w:cs="Calibri"/>
          <w:kern w:val="0"/>
          <w:sz w:val="22"/>
          <w:szCs w:val="22"/>
          <w:lang w:val="fr-FR" w:eastAsia="fr-FR"/>
        </w:rPr>
        <w:t>Pour le surplus, avant dire droit et en vue de permettre à la S.A. PROMAS INTERNATIONAL de déterminer le montant définitif du préjudice réellement subi, de désigner un expert, conformément à l’article 962 du Code judiciaire, avec la mission de:</w:t>
      </w:r>
    </w:p>
    <w:p w14:paraId="2799884F" w14:textId="77777777" w:rsidR="00670028" w:rsidRPr="00670028" w:rsidRDefault="00670028" w:rsidP="00670028">
      <w:pPr>
        <w:widowControl/>
        <w:suppressAutoHyphens w:val="0"/>
        <w:autoSpaceDN/>
        <w:spacing w:after="160" w:line="256" w:lineRule="auto"/>
        <w:ind w:left="720"/>
        <w:contextualSpacing/>
        <w:jc w:val="both"/>
        <w:textAlignment w:val="auto"/>
        <w:rPr>
          <w:rFonts w:ascii="Calibri" w:eastAsia="Times New Roman" w:hAnsi="Calibri" w:cs="Calibri"/>
          <w:kern w:val="0"/>
          <w:lang w:val="fr-FR" w:eastAsia="fr-FR"/>
        </w:rPr>
      </w:pPr>
    </w:p>
    <w:p w14:paraId="480F03C8" w14:textId="19DA3D4D" w:rsidR="00670028" w:rsidRPr="00670028" w:rsidRDefault="00670028" w:rsidP="00670028">
      <w:pPr>
        <w:widowControl/>
        <w:numPr>
          <w:ilvl w:val="1"/>
          <w:numId w:val="9"/>
        </w:numPr>
        <w:suppressAutoHyphens w:val="0"/>
        <w:autoSpaceDN/>
        <w:spacing w:after="160" w:line="256" w:lineRule="auto"/>
        <w:contextualSpacing/>
        <w:jc w:val="both"/>
        <w:textAlignment w:val="auto"/>
        <w:rPr>
          <w:rFonts w:ascii="Calibri" w:eastAsia="Times New Roman" w:hAnsi="Calibri" w:cs="Calibri"/>
          <w:kern w:val="0"/>
          <w:lang w:val="fr-FR" w:eastAsia="fr-FR"/>
        </w:rPr>
      </w:pPr>
      <w:r w:rsidRPr="00670028">
        <w:rPr>
          <w:rFonts w:ascii="Calibri" w:eastAsia="Times New Roman" w:hAnsi="Calibri" w:cs="Calibri"/>
          <w:kern w:val="0"/>
          <w:sz w:val="22"/>
          <w:szCs w:val="22"/>
          <w:lang w:val="fr-FR" w:eastAsia="fr-FR"/>
        </w:rPr>
        <w:t xml:space="preserve">Déterminer  l’identité  des  clients  de  la  S.A.  PROMAS  INTERNATIONAL,  qui  n’étaient  pas antérieurement  clients  de  la  SRL  MLD  CONCEPT  mais  qui,  entre  le  18  décembre  2020,  date  de signature du contrat de travail liant Monsieur </w:t>
      </w:r>
      <w:r w:rsidR="00AA321F">
        <w:rPr>
          <w:rFonts w:ascii="Calibri" w:eastAsia="Times New Roman" w:hAnsi="Calibri" w:cs="Calibri"/>
          <w:kern w:val="0"/>
          <w:sz w:val="22"/>
          <w:szCs w:val="22"/>
          <w:lang w:val="fr-FR" w:eastAsia="fr-FR"/>
        </w:rPr>
        <w:t>K</w:t>
      </w:r>
      <w:r w:rsidRPr="00670028">
        <w:rPr>
          <w:rFonts w:ascii="Calibri" w:eastAsia="Times New Roman" w:hAnsi="Calibri" w:cs="Calibri"/>
          <w:kern w:val="0"/>
          <w:sz w:val="22"/>
          <w:szCs w:val="22"/>
          <w:lang w:val="fr-FR" w:eastAsia="fr-FR"/>
        </w:rPr>
        <w:t xml:space="preserve"> à la SRL MLD CONCEPT, et le 4 avril 2021, date de la cessation des effets de la clause de non-concurrence qui liait Monsieur </w:t>
      </w:r>
      <w:r w:rsidR="00AA321F">
        <w:rPr>
          <w:rFonts w:ascii="Calibri" w:eastAsia="Times New Roman" w:hAnsi="Calibri" w:cs="Calibri"/>
          <w:kern w:val="0"/>
          <w:sz w:val="22"/>
          <w:szCs w:val="22"/>
          <w:lang w:val="fr-FR" w:eastAsia="fr-FR"/>
        </w:rPr>
        <w:t>K</w:t>
      </w:r>
      <w:r w:rsidRPr="00670028">
        <w:rPr>
          <w:rFonts w:ascii="Calibri" w:eastAsia="Times New Roman" w:hAnsi="Calibri" w:cs="Calibri"/>
          <w:kern w:val="0"/>
          <w:sz w:val="22"/>
          <w:szCs w:val="22"/>
          <w:lang w:val="fr-FR" w:eastAsia="fr-FR"/>
        </w:rPr>
        <w:t xml:space="preserve"> à la S.A. PROMAS INTERNATIONAL, ont passé commande auprès de la SRL MLD CONCEPT.</w:t>
      </w:r>
    </w:p>
    <w:p w14:paraId="0310FBA2" w14:textId="77777777" w:rsidR="00670028" w:rsidRPr="00670028" w:rsidRDefault="00670028" w:rsidP="00670028">
      <w:pPr>
        <w:widowControl/>
        <w:numPr>
          <w:ilvl w:val="1"/>
          <w:numId w:val="9"/>
        </w:numPr>
        <w:suppressAutoHyphens w:val="0"/>
        <w:autoSpaceDN/>
        <w:spacing w:after="160" w:line="256" w:lineRule="auto"/>
        <w:contextualSpacing/>
        <w:jc w:val="both"/>
        <w:textAlignment w:val="auto"/>
        <w:rPr>
          <w:rFonts w:ascii="Calibri" w:eastAsia="Times New Roman" w:hAnsi="Calibri" w:cs="Calibri"/>
          <w:kern w:val="0"/>
          <w:lang w:val="fr-FR" w:eastAsia="fr-FR"/>
        </w:rPr>
      </w:pPr>
      <w:r w:rsidRPr="00670028">
        <w:rPr>
          <w:rFonts w:ascii="Calibri" w:eastAsia="Times New Roman" w:hAnsi="Calibri" w:cs="Calibri"/>
          <w:kern w:val="0"/>
          <w:sz w:val="22"/>
          <w:szCs w:val="22"/>
          <w:lang w:val="fr-FR" w:eastAsia="fr-FR"/>
        </w:rPr>
        <w:t>Préciser  le  montant  global  des  commandes  passées  par  lesdits  clients  durant  la  période concernée auprès de la SRL MLD CONCEPT.</w:t>
      </w:r>
    </w:p>
    <w:p w14:paraId="3D921F83" w14:textId="77777777" w:rsidR="00670028" w:rsidRPr="00670028" w:rsidRDefault="00670028" w:rsidP="00670028">
      <w:pPr>
        <w:widowControl/>
        <w:numPr>
          <w:ilvl w:val="1"/>
          <w:numId w:val="9"/>
        </w:numPr>
        <w:suppressAutoHyphens w:val="0"/>
        <w:autoSpaceDN/>
        <w:spacing w:after="160" w:line="256" w:lineRule="auto"/>
        <w:contextualSpacing/>
        <w:jc w:val="both"/>
        <w:textAlignment w:val="auto"/>
        <w:rPr>
          <w:rFonts w:ascii="Calibri" w:eastAsia="Times New Roman" w:hAnsi="Calibri" w:cs="Calibri"/>
          <w:kern w:val="0"/>
          <w:lang w:val="fr-FR" w:eastAsia="fr-FR"/>
        </w:rPr>
      </w:pPr>
      <w:r w:rsidRPr="00670028">
        <w:rPr>
          <w:rFonts w:ascii="Calibri" w:eastAsia="Times New Roman" w:hAnsi="Calibri" w:cs="Calibri"/>
          <w:kern w:val="0"/>
          <w:sz w:val="22"/>
          <w:szCs w:val="22"/>
          <w:lang w:val="fr-FR" w:eastAsia="fr-FR"/>
        </w:rPr>
        <w:t xml:space="preserve">En   conséquence,   fixer   le   montant   du   préjudice   réellement   subi   par   la   S.A.   PROMAS INTERNATIONAL sur base des constatations qui précèdent. </w:t>
      </w:r>
    </w:p>
    <w:p w14:paraId="29CFBE22" w14:textId="77777777" w:rsidR="00670028" w:rsidRPr="00670028" w:rsidRDefault="00670028" w:rsidP="00670028">
      <w:pPr>
        <w:widowControl/>
        <w:suppressAutoHyphens w:val="0"/>
        <w:autoSpaceDN/>
        <w:spacing w:after="160" w:line="256" w:lineRule="auto"/>
        <w:ind w:left="1440"/>
        <w:contextualSpacing/>
        <w:jc w:val="both"/>
        <w:textAlignment w:val="auto"/>
        <w:rPr>
          <w:rFonts w:ascii="Calibri" w:eastAsia="Times New Roman" w:hAnsi="Calibri" w:cs="Calibri"/>
          <w:kern w:val="0"/>
          <w:lang w:val="fr-FR" w:eastAsia="fr-FR"/>
        </w:rPr>
      </w:pPr>
      <w:r w:rsidRPr="00670028">
        <w:rPr>
          <w:rFonts w:ascii="Calibri" w:eastAsia="Times New Roman" w:hAnsi="Calibri" w:cs="Calibri"/>
          <w:kern w:val="0"/>
          <w:sz w:val="22"/>
          <w:szCs w:val="22"/>
          <w:lang w:val="fr-FR" w:eastAsia="fr-FR"/>
        </w:rPr>
        <w:t>En  ce  cas,  surseoir  à  statuer  jusqu’à  ce  que  l’expert  ait  achevé entièrement sa mission.</w:t>
      </w:r>
    </w:p>
    <w:p w14:paraId="1DF3FB97" w14:textId="77777777" w:rsidR="00024C5B" w:rsidRDefault="00024C5B"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p>
    <w:p w14:paraId="21BDEB28" w14:textId="7DB894C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En substance, la société PROMAS soutient la validité de la clause de non-concurrence à l’égard de Monsieur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arguant qu’il convient de tenir compte, pour apprécier cette validité, de la rémunération annuelle applicable au moment de la rupture de contrat travail.</w:t>
      </w:r>
    </w:p>
    <w:p w14:paraId="0DF317FB" w14:textId="3D18F6D4" w:rsidR="00670028" w:rsidRPr="00670028" w:rsidRDefault="00472F84"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Pr>
          <w:rFonts w:ascii="Calibri" w:eastAsia="Calibri" w:hAnsi="Calibri" w:cs="Calibri"/>
          <w:bCs/>
          <w:kern w:val="0"/>
          <w:sz w:val="22"/>
          <w:szCs w:val="22"/>
          <w:lang w:val="fr-FR" w:eastAsia="en-US"/>
        </w:rPr>
        <w:t>Elle</w:t>
      </w:r>
      <w:r w:rsidR="00670028" w:rsidRPr="00670028">
        <w:rPr>
          <w:rFonts w:ascii="Calibri" w:eastAsia="Calibri" w:hAnsi="Calibri" w:cs="Calibri"/>
          <w:bCs/>
          <w:kern w:val="0"/>
          <w:sz w:val="22"/>
          <w:szCs w:val="22"/>
          <w:lang w:val="fr-FR" w:eastAsia="en-US"/>
        </w:rPr>
        <w:t xml:space="preserve"> estime que l’étendue réelle de son dommage dépasse l’indemnisation forfaitaire contractuelle. Invoquant une tierce complicité dans le chef de la société MLD CONCEPT, elle sollicite la désignation d’un expert chargé de déterminer l’identité des clients passés d’une société à l’autre, entre le 18 décembre 2020 et le 4 avril 2022 mais également de chiffrer le montant des commandes passées par ces mêmes clients</w:t>
      </w:r>
      <w:r>
        <w:rPr>
          <w:rFonts w:ascii="Calibri" w:eastAsia="Calibri" w:hAnsi="Calibri" w:cs="Calibri"/>
          <w:bCs/>
          <w:kern w:val="0"/>
          <w:sz w:val="22"/>
          <w:szCs w:val="22"/>
          <w:lang w:val="fr-FR" w:eastAsia="en-US"/>
        </w:rPr>
        <w:t>,</w:t>
      </w:r>
      <w:r w:rsidR="00670028" w:rsidRPr="00670028">
        <w:rPr>
          <w:rFonts w:ascii="Calibri" w:eastAsia="Calibri" w:hAnsi="Calibri" w:cs="Calibri"/>
          <w:bCs/>
          <w:kern w:val="0"/>
          <w:sz w:val="22"/>
          <w:szCs w:val="22"/>
          <w:lang w:val="fr-FR" w:eastAsia="en-US"/>
        </w:rPr>
        <w:t xml:space="preserve"> en vue de déterminer l’étendue du dommage.</w:t>
      </w:r>
    </w:p>
    <w:p w14:paraId="41EB9F5F" w14:textId="3152413A"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
          <w:kern w:val="0"/>
          <w:sz w:val="22"/>
          <w:szCs w:val="22"/>
          <w:lang w:val="fr-FR" w:eastAsia="en-US"/>
        </w:rPr>
        <w:t xml:space="preserve">Monsieur Jean-François </w:t>
      </w:r>
      <w:r w:rsidR="00AA321F">
        <w:rPr>
          <w:rFonts w:ascii="Calibri" w:eastAsia="Calibri" w:hAnsi="Calibri" w:cs="Calibri"/>
          <w:b/>
          <w:kern w:val="0"/>
          <w:sz w:val="22"/>
          <w:szCs w:val="22"/>
          <w:lang w:val="fr-FR" w:eastAsia="en-US"/>
        </w:rPr>
        <w:t>K</w:t>
      </w:r>
      <w:r w:rsidRPr="00670028">
        <w:rPr>
          <w:rFonts w:ascii="Calibri" w:eastAsia="Calibri" w:hAnsi="Calibri" w:cs="Calibri"/>
          <w:b/>
          <w:kern w:val="0"/>
          <w:sz w:val="22"/>
          <w:szCs w:val="22"/>
          <w:lang w:val="fr-FR" w:eastAsia="en-US"/>
        </w:rPr>
        <w:t xml:space="preserve"> </w:t>
      </w:r>
      <w:r w:rsidRPr="00670028">
        <w:rPr>
          <w:rFonts w:ascii="Calibri" w:eastAsia="Calibri" w:hAnsi="Calibri" w:cs="Calibri"/>
          <w:bCs/>
          <w:kern w:val="0"/>
          <w:sz w:val="22"/>
          <w:szCs w:val="22"/>
          <w:lang w:val="fr-FR" w:eastAsia="en-US"/>
        </w:rPr>
        <w:t>s’oppose à la demande de condamnation au préjudice réelle</w:t>
      </w:r>
      <w:r w:rsidR="00472F84">
        <w:rPr>
          <w:rFonts w:ascii="Calibri" w:eastAsia="Calibri" w:hAnsi="Calibri" w:cs="Calibri"/>
          <w:bCs/>
          <w:kern w:val="0"/>
          <w:sz w:val="22"/>
          <w:szCs w:val="22"/>
          <w:lang w:val="fr-FR" w:eastAsia="en-US"/>
        </w:rPr>
        <w:t>ment</w:t>
      </w:r>
      <w:r w:rsidRPr="00670028">
        <w:rPr>
          <w:rFonts w:ascii="Calibri" w:eastAsia="Calibri" w:hAnsi="Calibri" w:cs="Calibri"/>
          <w:bCs/>
          <w:kern w:val="0"/>
          <w:sz w:val="22"/>
          <w:szCs w:val="22"/>
          <w:lang w:val="fr-FR" w:eastAsia="en-US"/>
        </w:rPr>
        <w:t xml:space="preserve"> subi formulée par son ancien employeur, ainsi qu’à la mesure d’expertise sollicitée. Il ne s’oppose pas au fondement de la demande concernant l’indemnité forfaitaire</w:t>
      </w:r>
      <w:r w:rsidR="00472F84">
        <w:rPr>
          <w:rFonts w:ascii="Calibri" w:eastAsia="Calibri" w:hAnsi="Calibri" w:cs="Calibri"/>
          <w:bCs/>
          <w:kern w:val="0"/>
          <w:sz w:val="22"/>
          <w:szCs w:val="22"/>
          <w:lang w:val="fr-FR" w:eastAsia="en-US"/>
        </w:rPr>
        <w:t>,</w:t>
      </w:r>
      <w:r w:rsidRPr="00670028">
        <w:rPr>
          <w:rFonts w:ascii="Calibri" w:eastAsia="Calibri" w:hAnsi="Calibri" w:cs="Calibri"/>
          <w:bCs/>
          <w:kern w:val="0"/>
          <w:sz w:val="22"/>
          <w:szCs w:val="22"/>
          <w:lang w:val="fr-FR" w:eastAsia="en-US"/>
        </w:rPr>
        <w:t xml:space="preserve"> mais conteste le montant réclamé.</w:t>
      </w:r>
    </w:p>
    <w:p w14:paraId="074DD948"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En substance, il s’en réfère aux arguments développés par la société MLD CONCEPT quant à la validité de la clause de non-concurrence. </w:t>
      </w:r>
    </w:p>
    <w:p w14:paraId="5095437F" w14:textId="14C0C1F6"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Concernant le dommage invoqué par PROMAS, il soutient que les courriels produits – c’est-à-dire ceux reçus sur la boite email professionnelle de </w:t>
      </w:r>
      <w:r w:rsidR="001E50BF">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w:t>
      </w:r>
      <w:r w:rsidR="001E50BF">
        <w:rPr>
          <w:rFonts w:ascii="Calibri" w:eastAsia="Calibri" w:hAnsi="Calibri" w:cs="Calibri"/>
          <w:bCs/>
          <w:kern w:val="0"/>
          <w:sz w:val="22"/>
          <w:szCs w:val="22"/>
          <w:lang w:val="fr-FR" w:eastAsia="en-US"/>
        </w:rPr>
        <w:t xml:space="preserve"> </w:t>
      </w:r>
      <w:r w:rsidRPr="00670028">
        <w:rPr>
          <w:rFonts w:ascii="Calibri" w:eastAsia="Calibri" w:hAnsi="Calibri" w:cs="Calibri"/>
          <w:bCs/>
          <w:kern w:val="0"/>
          <w:sz w:val="22"/>
          <w:szCs w:val="22"/>
          <w:lang w:val="fr-FR" w:eastAsia="en-US"/>
        </w:rPr>
        <w:t>après son départ, mais restée active</w:t>
      </w:r>
      <w:r w:rsidR="001E50BF">
        <w:rPr>
          <w:rFonts w:ascii="Calibri" w:eastAsia="Calibri" w:hAnsi="Calibri" w:cs="Calibri"/>
          <w:bCs/>
          <w:kern w:val="0"/>
          <w:sz w:val="22"/>
          <w:szCs w:val="22"/>
          <w:lang w:val="fr-FR" w:eastAsia="en-US"/>
        </w:rPr>
        <w:t xml:space="preserve"> - </w:t>
      </w:r>
      <w:r w:rsidR="00472F84">
        <w:rPr>
          <w:rFonts w:ascii="Calibri" w:eastAsia="Calibri" w:hAnsi="Calibri" w:cs="Calibri"/>
          <w:bCs/>
          <w:kern w:val="0"/>
          <w:sz w:val="22"/>
          <w:szCs w:val="22"/>
          <w:lang w:val="fr-FR" w:eastAsia="en-US"/>
        </w:rPr>
        <w:t>ont</w:t>
      </w:r>
      <w:r w:rsidRPr="00670028">
        <w:rPr>
          <w:rFonts w:ascii="Calibri" w:eastAsia="Calibri" w:hAnsi="Calibri" w:cs="Calibri"/>
          <w:bCs/>
          <w:kern w:val="0"/>
          <w:sz w:val="22"/>
          <w:szCs w:val="22"/>
          <w:lang w:val="fr-FR" w:eastAsia="en-US"/>
        </w:rPr>
        <w:t xml:space="preserve"> été obtenus de manière irrégulière. Vu cette irrégularité, ces éléments de preuve ne sont pas recevables à titre de preuve</w:t>
      </w:r>
      <w:r w:rsidR="00472F84">
        <w:rPr>
          <w:rFonts w:ascii="Calibri" w:eastAsia="Calibri" w:hAnsi="Calibri" w:cs="Calibri"/>
          <w:bCs/>
          <w:kern w:val="0"/>
          <w:sz w:val="22"/>
          <w:szCs w:val="22"/>
          <w:lang w:val="fr-FR" w:eastAsia="en-US"/>
        </w:rPr>
        <w:t xml:space="preserve"> de l’existence et de l’étendue du dommage. </w:t>
      </w:r>
    </w:p>
    <w:p w14:paraId="094B3CA7" w14:textId="710F8161" w:rsidR="00670028" w:rsidRPr="00670028" w:rsidRDefault="00472F84"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Pr>
          <w:rFonts w:ascii="Calibri" w:eastAsia="Calibri" w:hAnsi="Calibri" w:cs="Calibri"/>
          <w:bCs/>
          <w:kern w:val="0"/>
          <w:sz w:val="22"/>
          <w:szCs w:val="22"/>
          <w:lang w:val="fr-FR" w:eastAsia="en-US"/>
        </w:rPr>
        <w:t>Quant à</w:t>
      </w:r>
      <w:r w:rsidR="00670028" w:rsidRPr="00670028">
        <w:rPr>
          <w:rFonts w:ascii="Calibri" w:eastAsia="Calibri" w:hAnsi="Calibri" w:cs="Calibri"/>
          <w:bCs/>
          <w:kern w:val="0"/>
          <w:sz w:val="22"/>
          <w:szCs w:val="22"/>
          <w:lang w:val="fr-FR" w:eastAsia="en-US"/>
        </w:rPr>
        <w:t xml:space="preserve"> la demande de désignation d’un expert, Monsieur </w:t>
      </w:r>
      <w:r w:rsidR="00AA321F">
        <w:rPr>
          <w:rFonts w:ascii="Calibri" w:eastAsia="Calibri" w:hAnsi="Calibri" w:cs="Calibri"/>
          <w:bCs/>
          <w:kern w:val="0"/>
          <w:sz w:val="22"/>
          <w:szCs w:val="22"/>
          <w:lang w:val="fr-FR" w:eastAsia="en-US"/>
        </w:rPr>
        <w:t>K</w:t>
      </w:r>
      <w:r w:rsidR="00670028" w:rsidRPr="00670028">
        <w:rPr>
          <w:rFonts w:ascii="Calibri" w:eastAsia="Calibri" w:hAnsi="Calibri" w:cs="Calibri"/>
          <w:bCs/>
          <w:kern w:val="0"/>
          <w:sz w:val="22"/>
          <w:szCs w:val="22"/>
          <w:lang w:val="fr-FR" w:eastAsia="en-US"/>
        </w:rPr>
        <w:t xml:space="preserve"> s’y oppose au motif que la société PROMAS n’établit aucun commencement de preuve du lien causal entre l’engagement de l’intéressé par la société MLD et un dommage dans son chef. </w:t>
      </w:r>
    </w:p>
    <w:p w14:paraId="26627A28"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
          <w:kern w:val="0"/>
          <w:sz w:val="22"/>
          <w:szCs w:val="22"/>
          <w:lang w:val="fr-FR" w:eastAsia="en-US"/>
        </w:rPr>
      </w:pPr>
      <w:r w:rsidRPr="00670028">
        <w:rPr>
          <w:rFonts w:ascii="Calibri" w:eastAsia="Calibri" w:hAnsi="Calibri" w:cs="Calibri"/>
          <w:b/>
          <w:kern w:val="0"/>
          <w:sz w:val="22"/>
          <w:szCs w:val="22"/>
          <w:lang w:val="fr-FR" w:eastAsia="en-US"/>
        </w:rPr>
        <w:t xml:space="preserve">La S.R.L MLD CONCEPT </w:t>
      </w:r>
      <w:r w:rsidRPr="00670028">
        <w:rPr>
          <w:rFonts w:ascii="Calibri" w:eastAsia="Calibri" w:hAnsi="Calibri" w:cs="Calibri"/>
          <w:bCs/>
          <w:kern w:val="0"/>
          <w:sz w:val="22"/>
          <w:szCs w:val="22"/>
          <w:lang w:val="fr-FR" w:eastAsia="en-US"/>
        </w:rPr>
        <w:t>soutient la recevabilité mais le non fondement des demandes principales et subsidiaires, ainsi que la condamnation de la société PROMAS aux dépens.</w:t>
      </w:r>
      <w:r w:rsidRPr="00670028">
        <w:rPr>
          <w:rFonts w:ascii="Calibri" w:eastAsia="Calibri" w:hAnsi="Calibri" w:cs="Calibri"/>
          <w:b/>
          <w:kern w:val="0"/>
          <w:sz w:val="22"/>
          <w:szCs w:val="22"/>
          <w:lang w:val="fr-FR" w:eastAsia="en-US"/>
        </w:rPr>
        <w:t xml:space="preserve"> </w:t>
      </w:r>
    </w:p>
    <w:p w14:paraId="2AF51FCF"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En substance, elle estime que la clause de non-concurrence n’est pas valable, au motif que la rémunération mensuelle fixe prévue dans le contrat de travail est inférieure au seuil légal.</w:t>
      </w:r>
    </w:p>
    <w:p w14:paraId="18D2026C"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bCs/>
          <w:kern w:val="0"/>
          <w:sz w:val="22"/>
          <w:szCs w:val="22"/>
          <w:lang w:val="fr-FR" w:eastAsia="en-US"/>
        </w:rPr>
        <w:t>Elle estime que la société</w:t>
      </w:r>
      <w:r w:rsidRPr="00670028">
        <w:rPr>
          <w:rFonts w:ascii="Calibri" w:eastAsia="Calibri" w:hAnsi="Calibri" w:cs="Calibri"/>
          <w:color w:val="000000"/>
          <w:kern w:val="0"/>
          <w:sz w:val="22"/>
          <w:szCs w:val="22"/>
          <w:shd w:val="clear" w:color="auto" w:fill="FFFFFF"/>
          <w:lang w:eastAsia="en-US"/>
        </w:rPr>
        <w:t xml:space="preserve"> PROMAS n’établit aucune tierce complicité dans son chef ; </w:t>
      </w:r>
      <w:r w:rsidRPr="00670028">
        <w:rPr>
          <w:rFonts w:ascii="Calibri" w:eastAsia="Calibri" w:hAnsi="Calibri" w:cs="Calibri"/>
          <w:bCs/>
          <w:kern w:val="0"/>
          <w:sz w:val="22"/>
          <w:szCs w:val="22"/>
          <w:lang w:val="fr-FR" w:eastAsia="en-US"/>
        </w:rPr>
        <w:t xml:space="preserve">MLD CONCEPT soutient n’avoir eu connaissance de la clause de non-concurrence, et donc de l’obligation contractuelle prétendument violée, qu’à partir du 8 juillet 2021, à savoir la communication du contrat travail par le conseil de la société </w:t>
      </w:r>
      <w:r w:rsidRPr="00670028">
        <w:rPr>
          <w:rFonts w:ascii="Calibri" w:eastAsia="Calibri" w:hAnsi="Calibri" w:cs="Calibri"/>
          <w:color w:val="000000"/>
          <w:kern w:val="0"/>
          <w:sz w:val="22"/>
          <w:szCs w:val="22"/>
          <w:shd w:val="clear" w:color="auto" w:fill="FFFFFF"/>
          <w:lang w:eastAsia="en-US"/>
        </w:rPr>
        <w:t>PROMAS.</w:t>
      </w:r>
    </w:p>
    <w:p w14:paraId="4BB3A1E1"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color w:val="000000"/>
          <w:kern w:val="0"/>
          <w:sz w:val="22"/>
          <w:szCs w:val="22"/>
          <w:shd w:val="clear" w:color="auto" w:fill="FFFFFF"/>
          <w:lang w:eastAsia="en-US"/>
        </w:rPr>
        <w:t>Enfin, elle s’oppose à la demande d’expertise au motif que la société PROMAS n’établit pas l’existence/la réalité et l’étendue du préjudice allégué. Elle soutient également que l’objectif de la mesure d’instruction est détourné de sa finalité puisqu’elle vise, in fine, à s’immiscer dans le secret des affaires de la société</w:t>
      </w:r>
      <w:r w:rsidRPr="00670028">
        <w:rPr>
          <w:rFonts w:ascii="Calibri" w:eastAsia="Calibri" w:hAnsi="Calibri" w:cs="Calibri"/>
          <w:bCs/>
          <w:kern w:val="0"/>
          <w:sz w:val="22"/>
          <w:szCs w:val="22"/>
          <w:lang w:val="fr-FR" w:eastAsia="en-US"/>
        </w:rPr>
        <w:t xml:space="preserve"> MLD CONCEPT</w:t>
      </w:r>
      <w:r w:rsidRPr="00670028">
        <w:rPr>
          <w:rFonts w:ascii="Calibri" w:eastAsia="Calibri" w:hAnsi="Calibri" w:cs="Calibri"/>
          <w:color w:val="000000"/>
          <w:kern w:val="0"/>
          <w:sz w:val="22"/>
          <w:szCs w:val="22"/>
          <w:shd w:val="clear" w:color="auto" w:fill="FFFFFF"/>
          <w:lang w:eastAsia="en-US"/>
        </w:rPr>
        <w:t xml:space="preserve">. </w:t>
      </w:r>
    </w:p>
    <w:p w14:paraId="45561ADE" w14:textId="339268A0" w:rsidR="00670028" w:rsidRDefault="00670028" w:rsidP="00670028">
      <w:pPr>
        <w:widowControl/>
        <w:numPr>
          <w:ilvl w:val="0"/>
          <w:numId w:val="8"/>
        </w:numPr>
        <w:suppressAutoHyphens w:val="0"/>
        <w:autoSpaceDN/>
        <w:spacing w:after="160" w:line="256" w:lineRule="auto"/>
        <w:contextualSpacing/>
        <w:jc w:val="both"/>
        <w:textAlignment w:val="auto"/>
        <w:rPr>
          <w:rFonts w:ascii="Calibri" w:eastAsia="Calibri" w:hAnsi="Calibri" w:cs="Calibri"/>
          <w:b/>
          <w:kern w:val="0"/>
          <w:sz w:val="22"/>
          <w:szCs w:val="22"/>
          <w:u w:val="single"/>
          <w:lang w:eastAsia="en-US"/>
        </w:rPr>
      </w:pPr>
      <w:r w:rsidRPr="00670028">
        <w:rPr>
          <w:rFonts w:ascii="Calibri" w:eastAsia="Calibri" w:hAnsi="Calibri" w:cs="Calibri"/>
          <w:b/>
          <w:kern w:val="0"/>
          <w:sz w:val="22"/>
          <w:szCs w:val="22"/>
          <w:u w:val="single"/>
          <w:lang w:eastAsia="en-US"/>
        </w:rPr>
        <w:t>La compétence et la recevabilité</w:t>
      </w:r>
    </w:p>
    <w:p w14:paraId="12C48B55" w14:textId="77777777" w:rsidR="00C3683A" w:rsidRPr="00670028" w:rsidRDefault="00C3683A" w:rsidP="00C3683A">
      <w:pPr>
        <w:widowControl/>
        <w:suppressAutoHyphens w:val="0"/>
        <w:autoSpaceDN/>
        <w:spacing w:after="160" w:line="256" w:lineRule="auto"/>
        <w:ind w:left="1080"/>
        <w:contextualSpacing/>
        <w:jc w:val="both"/>
        <w:textAlignment w:val="auto"/>
        <w:rPr>
          <w:rFonts w:ascii="Calibri" w:eastAsia="Calibri" w:hAnsi="Calibri" w:cs="Calibri"/>
          <w:b/>
          <w:kern w:val="0"/>
          <w:sz w:val="22"/>
          <w:szCs w:val="22"/>
          <w:u w:val="single"/>
          <w:lang w:eastAsia="en-US"/>
        </w:rPr>
      </w:pPr>
    </w:p>
    <w:p w14:paraId="1351803B" w14:textId="7E3D2D0E" w:rsidR="00670028" w:rsidRPr="00670028" w:rsidRDefault="00670028" w:rsidP="00670028">
      <w:pPr>
        <w:widowControl/>
        <w:suppressAutoHyphens w:val="0"/>
        <w:autoSpaceDN/>
        <w:spacing w:after="160" w:line="256" w:lineRule="auto"/>
        <w:jc w:val="both"/>
        <w:textAlignment w:val="auto"/>
        <w:rPr>
          <w:rFonts w:ascii="Calibri" w:eastAsia="Arial" w:hAnsi="Calibri" w:cs="Calibri"/>
          <w:kern w:val="0"/>
          <w:sz w:val="22"/>
          <w:szCs w:val="22"/>
          <w:lang w:eastAsia="en-US"/>
        </w:rPr>
      </w:pPr>
      <w:r w:rsidRPr="00670028">
        <w:rPr>
          <w:rFonts w:ascii="Calibri" w:eastAsia="Arial" w:hAnsi="Calibri" w:cs="Calibri"/>
          <w:kern w:val="0"/>
          <w:sz w:val="22"/>
          <w:szCs w:val="22"/>
          <w:lang w:eastAsia="en-US"/>
        </w:rPr>
        <w:t xml:space="preserve">La compétence du Tribunal de céans est justifiée au regard des articles 578,1° (compétence d’attribution) et 627, 9° (compétence territoriale) du Code judiciaire, </w:t>
      </w:r>
      <w:r w:rsidR="00C3683A">
        <w:rPr>
          <w:rFonts w:ascii="Calibri" w:eastAsia="Arial" w:hAnsi="Calibri" w:cs="Calibri"/>
          <w:kern w:val="0"/>
          <w:sz w:val="22"/>
          <w:szCs w:val="22"/>
          <w:lang w:eastAsia="en-US"/>
        </w:rPr>
        <w:t>M</w:t>
      </w:r>
      <w:r w:rsidRPr="00670028">
        <w:rPr>
          <w:rFonts w:ascii="Calibri" w:eastAsia="Arial" w:hAnsi="Calibri" w:cs="Calibri"/>
          <w:kern w:val="0"/>
          <w:sz w:val="22"/>
          <w:szCs w:val="22"/>
          <w:lang w:eastAsia="en-US"/>
        </w:rPr>
        <w:t xml:space="preserve">onsieur </w:t>
      </w:r>
      <w:r w:rsidR="00AA321F">
        <w:rPr>
          <w:rFonts w:ascii="Calibri" w:eastAsia="Arial" w:hAnsi="Calibri" w:cs="Calibri"/>
          <w:kern w:val="0"/>
          <w:sz w:val="22"/>
          <w:szCs w:val="22"/>
          <w:lang w:eastAsia="en-US"/>
        </w:rPr>
        <w:t>K</w:t>
      </w:r>
      <w:r w:rsidRPr="00670028">
        <w:rPr>
          <w:rFonts w:ascii="Calibri" w:eastAsia="Arial" w:hAnsi="Calibri" w:cs="Calibri"/>
          <w:kern w:val="0"/>
          <w:sz w:val="22"/>
          <w:szCs w:val="22"/>
          <w:lang w:eastAsia="en-US"/>
        </w:rPr>
        <w:t xml:space="preserve"> étant occupé sur le territoire de Liège (prospection de clientèle sur le territoire liégeois et siège social de l’ancien employeur sur ce même territoire). </w:t>
      </w:r>
    </w:p>
    <w:p w14:paraId="38B11925" w14:textId="0A517E33" w:rsidR="00670028" w:rsidRPr="00670028" w:rsidRDefault="00670028" w:rsidP="00670028">
      <w:pPr>
        <w:widowControl/>
        <w:suppressAutoHyphens w:val="0"/>
        <w:autoSpaceDN/>
        <w:spacing w:after="160" w:line="256" w:lineRule="auto"/>
        <w:jc w:val="both"/>
        <w:textAlignment w:val="auto"/>
        <w:rPr>
          <w:rFonts w:ascii="Calibri" w:eastAsia="Arial" w:hAnsi="Calibri" w:cs="Calibri"/>
          <w:kern w:val="0"/>
          <w:sz w:val="22"/>
          <w:szCs w:val="22"/>
          <w:lang w:eastAsia="en-US"/>
        </w:rPr>
      </w:pPr>
      <w:r w:rsidRPr="00670028">
        <w:rPr>
          <w:rFonts w:ascii="Calibri" w:eastAsia="Arial" w:hAnsi="Calibri" w:cs="Calibri"/>
          <w:kern w:val="0"/>
          <w:sz w:val="22"/>
          <w:szCs w:val="22"/>
          <w:lang w:eastAsia="en-US"/>
        </w:rPr>
        <w:t xml:space="preserve">Les demandes sont recevables, tant à l’égard de </w:t>
      </w:r>
      <w:r w:rsidR="00C3683A">
        <w:rPr>
          <w:rFonts w:ascii="Calibri" w:eastAsia="Arial" w:hAnsi="Calibri" w:cs="Calibri"/>
          <w:kern w:val="0"/>
          <w:sz w:val="22"/>
          <w:szCs w:val="22"/>
          <w:lang w:eastAsia="en-US"/>
        </w:rPr>
        <w:t>M</w:t>
      </w:r>
      <w:r w:rsidRPr="00670028">
        <w:rPr>
          <w:rFonts w:ascii="Calibri" w:eastAsia="Arial" w:hAnsi="Calibri" w:cs="Calibri"/>
          <w:kern w:val="0"/>
          <w:sz w:val="22"/>
          <w:szCs w:val="22"/>
          <w:lang w:eastAsia="en-US"/>
        </w:rPr>
        <w:t xml:space="preserve">onsieur </w:t>
      </w:r>
      <w:r w:rsidR="00AA321F">
        <w:rPr>
          <w:rFonts w:ascii="Calibri" w:eastAsia="Arial" w:hAnsi="Calibri" w:cs="Calibri"/>
          <w:kern w:val="0"/>
          <w:sz w:val="22"/>
          <w:szCs w:val="22"/>
          <w:lang w:eastAsia="en-US"/>
        </w:rPr>
        <w:t>K</w:t>
      </w:r>
      <w:r w:rsidRPr="00670028">
        <w:rPr>
          <w:rFonts w:ascii="Calibri" w:eastAsia="Arial" w:hAnsi="Calibri" w:cs="Calibri"/>
          <w:kern w:val="0"/>
          <w:sz w:val="22"/>
          <w:szCs w:val="22"/>
          <w:lang w:eastAsia="en-US"/>
        </w:rPr>
        <w:t xml:space="preserve"> que de MLD CONCEPT, pour avoir été introduites dans les formes et délais légaux.  </w:t>
      </w:r>
    </w:p>
    <w:p w14:paraId="7D1E85BE" w14:textId="101DB772" w:rsidR="00670028" w:rsidRDefault="00670028" w:rsidP="00C3683A">
      <w:pPr>
        <w:widowControl/>
        <w:suppressAutoHyphens w:val="0"/>
        <w:autoSpaceDN/>
        <w:jc w:val="both"/>
        <w:textAlignment w:val="auto"/>
        <w:rPr>
          <w:rFonts w:ascii="Calibri" w:eastAsia="Arial" w:hAnsi="Calibri" w:cs="Calibri"/>
          <w:kern w:val="0"/>
          <w:sz w:val="22"/>
          <w:szCs w:val="22"/>
          <w:lang w:eastAsia="en-US"/>
        </w:rPr>
      </w:pPr>
      <w:r w:rsidRPr="00670028">
        <w:rPr>
          <w:rFonts w:ascii="Calibri" w:eastAsia="Arial" w:hAnsi="Calibri" w:cs="Calibri"/>
          <w:kern w:val="0"/>
          <w:sz w:val="22"/>
          <w:szCs w:val="22"/>
          <w:lang w:eastAsia="en-US"/>
        </w:rPr>
        <w:t xml:space="preserve">En tout état de cause, la recevabilité n’est pas contestée par les parties défenderesses. </w:t>
      </w:r>
    </w:p>
    <w:p w14:paraId="5F135113" w14:textId="77777777" w:rsidR="00C3683A" w:rsidRPr="00670028" w:rsidRDefault="00C3683A" w:rsidP="00C3683A">
      <w:pPr>
        <w:widowControl/>
        <w:suppressAutoHyphens w:val="0"/>
        <w:autoSpaceDN/>
        <w:jc w:val="both"/>
        <w:textAlignment w:val="auto"/>
        <w:rPr>
          <w:rFonts w:ascii="Calibri" w:eastAsia="Arial" w:hAnsi="Calibri" w:cs="Calibri"/>
          <w:kern w:val="0"/>
          <w:sz w:val="22"/>
          <w:szCs w:val="22"/>
          <w:lang w:eastAsia="en-US"/>
        </w:rPr>
      </w:pPr>
    </w:p>
    <w:p w14:paraId="1ED700C1" w14:textId="77777777" w:rsidR="00670028" w:rsidRPr="00670028" w:rsidRDefault="00670028" w:rsidP="00C3683A">
      <w:pPr>
        <w:widowControl/>
        <w:numPr>
          <w:ilvl w:val="0"/>
          <w:numId w:val="8"/>
        </w:numPr>
        <w:suppressAutoHyphens w:val="0"/>
        <w:autoSpaceDN/>
        <w:contextualSpacing/>
        <w:jc w:val="both"/>
        <w:textAlignment w:val="auto"/>
        <w:rPr>
          <w:rFonts w:ascii="Calibri" w:eastAsia="Calibri" w:hAnsi="Calibri" w:cs="Calibri"/>
          <w:b/>
          <w:kern w:val="0"/>
          <w:sz w:val="22"/>
          <w:szCs w:val="22"/>
          <w:u w:val="single"/>
          <w:lang w:eastAsia="en-US"/>
        </w:rPr>
      </w:pPr>
      <w:r w:rsidRPr="00670028">
        <w:rPr>
          <w:rFonts w:ascii="Calibri" w:eastAsia="Calibri" w:hAnsi="Calibri" w:cs="Calibri"/>
          <w:b/>
          <w:kern w:val="0"/>
          <w:sz w:val="22"/>
          <w:szCs w:val="22"/>
          <w:u w:val="single"/>
          <w:lang w:eastAsia="en-US"/>
        </w:rPr>
        <w:t>L’analyse</w:t>
      </w:r>
    </w:p>
    <w:p w14:paraId="3944ADE7" w14:textId="77777777" w:rsidR="00670028" w:rsidRPr="00670028" w:rsidRDefault="00670028" w:rsidP="00C3683A">
      <w:pPr>
        <w:widowControl/>
        <w:suppressAutoHyphens w:val="0"/>
        <w:autoSpaceDN/>
        <w:ind w:left="1080"/>
        <w:contextualSpacing/>
        <w:jc w:val="both"/>
        <w:textAlignment w:val="auto"/>
        <w:rPr>
          <w:rFonts w:ascii="Calibri" w:eastAsia="Calibri" w:hAnsi="Calibri" w:cs="Calibri"/>
          <w:b/>
          <w:kern w:val="0"/>
          <w:sz w:val="22"/>
          <w:szCs w:val="22"/>
          <w:u w:val="single"/>
          <w:lang w:eastAsia="en-US"/>
        </w:rPr>
      </w:pPr>
    </w:p>
    <w:p w14:paraId="1AD03CD4" w14:textId="77777777" w:rsidR="00670028" w:rsidRPr="00670028" w:rsidRDefault="00670028" w:rsidP="00C3683A">
      <w:pPr>
        <w:widowControl/>
        <w:numPr>
          <w:ilvl w:val="1"/>
          <w:numId w:val="8"/>
        </w:numPr>
        <w:suppressAutoHyphens w:val="0"/>
        <w:autoSpaceDN/>
        <w:contextualSpacing/>
        <w:jc w:val="both"/>
        <w:textAlignment w:val="auto"/>
        <w:rPr>
          <w:rFonts w:ascii="Calibri" w:eastAsia="Calibri" w:hAnsi="Calibri" w:cs="Calibri"/>
          <w:b/>
          <w:kern w:val="0"/>
          <w:sz w:val="22"/>
          <w:szCs w:val="22"/>
          <w:u w:val="single"/>
          <w:lang w:eastAsia="en-US"/>
        </w:rPr>
      </w:pPr>
      <w:r w:rsidRPr="00670028">
        <w:rPr>
          <w:rFonts w:ascii="Calibri" w:eastAsia="Calibri" w:hAnsi="Calibri" w:cs="Calibri"/>
          <w:b/>
          <w:kern w:val="0"/>
          <w:sz w:val="22"/>
          <w:szCs w:val="22"/>
          <w:u w:val="single"/>
          <w:lang w:eastAsia="en-US"/>
        </w:rPr>
        <w:t>La validité de la clause de non-concurrence</w:t>
      </w:r>
    </w:p>
    <w:p w14:paraId="41BA568D" w14:textId="77777777" w:rsidR="00670028" w:rsidRPr="00670028" w:rsidRDefault="00670028" w:rsidP="00C3683A">
      <w:pPr>
        <w:widowControl/>
        <w:suppressAutoHyphens w:val="0"/>
        <w:autoSpaceDN/>
        <w:ind w:left="1440"/>
        <w:contextualSpacing/>
        <w:jc w:val="both"/>
        <w:textAlignment w:val="auto"/>
        <w:rPr>
          <w:rFonts w:ascii="Calibri" w:eastAsia="Calibri" w:hAnsi="Calibri" w:cs="Calibri"/>
          <w:b/>
          <w:kern w:val="0"/>
          <w:sz w:val="22"/>
          <w:szCs w:val="22"/>
          <w:u w:val="single"/>
          <w:lang w:eastAsia="en-US"/>
        </w:rPr>
      </w:pPr>
    </w:p>
    <w:p w14:paraId="24972848" w14:textId="77777777" w:rsidR="00670028" w:rsidRPr="00670028" w:rsidRDefault="00670028" w:rsidP="00C3683A">
      <w:pPr>
        <w:widowControl/>
        <w:numPr>
          <w:ilvl w:val="2"/>
          <w:numId w:val="8"/>
        </w:numPr>
        <w:suppressAutoHyphens w:val="0"/>
        <w:autoSpaceDN/>
        <w:contextualSpacing/>
        <w:jc w:val="both"/>
        <w:textAlignment w:val="auto"/>
        <w:rPr>
          <w:rFonts w:ascii="Calibri" w:eastAsia="Calibri" w:hAnsi="Calibri" w:cs="Calibri"/>
          <w:b/>
          <w:kern w:val="0"/>
          <w:sz w:val="22"/>
          <w:szCs w:val="22"/>
          <w:u w:val="single"/>
          <w:lang w:eastAsia="en-US"/>
        </w:rPr>
      </w:pPr>
      <w:r w:rsidRPr="00670028">
        <w:rPr>
          <w:rFonts w:ascii="Calibri" w:eastAsia="Calibri" w:hAnsi="Calibri" w:cs="Calibri"/>
          <w:b/>
          <w:kern w:val="0"/>
          <w:sz w:val="22"/>
          <w:szCs w:val="22"/>
          <w:u w:val="single"/>
          <w:lang w:eastAsia="en-US"/>
        </w:rPr>
        <w:t>Les principes juridiques applicables</w:t>
      </w:r>
    </w:p>
    <w:p w14:paraId="1813B7E1" w14:textId="77777777" w:rsidR="00C3683A" w:rsidRDefault="00C3683A" w:rsidP="00C3683A">
      <w:pPr>
        <w:widowControl/>
        <w:suppressAutoHyphens w:val="0"/>
        <w:autoSpaceDN/>
        <w:jc w:val="both"/>
        <w:textAlignment w:val="auto"/>
        <w:rPr>
          <w:rFonts w:ascii="Calibri" w:eastAsia="Calibri" w:hAnsi="Calibri" w:cs="Calibri"/>
          <w:kern w:val="0"/>
          <w:sz w:val="22"/>
          <w:szCs w:val="22"/>
          <w:lang w:val="fr-FR" w:eastAsia="en-US"/>
        </w:rPr>
      </w:pPr>
    </w:p>
    <w:p w14:paraId="55F10974" w14:textId="32ED3114" w:rsidR="00670028" w:rsidRDefault="00670028" w:rsidP="00C3683A">
      <w:pPr>
        <w:widowControl/>
        <w:suppressAutoHyphens w:val="0"/>
        <w:autoSpaceDN/>
        <w:jc w:val="both"/>
        <w:textAlignment w:val="auto"/>
        <w:rPr>
          <w:rFonts w:ascii="Calibri" w:eastAsia="Calibri" w:hAnsi="Calibri" w:cs="Calibri"/>
          <w:kern w:val="0"/>
          <w:sz w:val="22"/>
          <w:szCs w:val="22"/>
          <w:lang w:val="fr-FR" w:eastAsia="en-US"/>
        </w:rPr>
      </w:pPr>
      <w:r w:rsidRPr="00670028">
        <w:rPr>
          <w:rFonts w:ascii="Calibri" w:eastAsia="Calibri" w:hAnsi="Calibri" w:cs="Calibri"/>
          <w:kern w:val="0"/>
          <w:sz w:val="22"/>
          <w:szCs w:val="22"/>
          <w:lang w:val="fr-FR" w:eastAsia="en-US"/>
        </w:rPr>
        <w:t>En vertu de l’article 17, 3 ° de la loi du 3 juillet 1978 relative aux contrats de travail :</w:t>
      </w:r>
    </w:p>
    <w:p w14:paraId="50808C67" w14:textId="77777777" w:rsidR="00472F84" w:rsidRPr="00670028" w:rsidRDefault="00472F84" w:rsidP="00C3683A">
      <w:pPr>
        <w:widowControl/>
        <w:suppressAutoHyphens w:val="0"/>
        <w:autoSpaceDN/>
        <w:jc w:val="both"/>
        <w:textAlignment w:val="auto"/>
        <w:rPr>
          <w:rFonts w:ascii="Calibri" w:eastAsia="Calibri" w:hAnsi="Calibri" w:cs="Calibri"/>
          <w:kern w:val="0"/>
          <w:sz w:val="22"/>
          <w:szCs w:val="22"/>
          <w:lang w:val="fr-FR" w:eastAsia="en-US"/>
        </w:rPr>
      </w:pPr>
    </w:p>
    <w:p w14:paraId="1B0482EE"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kern w:val="0"/>
          <w:sz w:val="22"/>
          <w:szCs w:val="22"/>
          <w:lang w:val="fr-FR" w:eastAsia="fr-FR"/>
        </w:rPr>
      </w:pPr>
      <w:r w:rsidRPr="00670028">
        <w:rPr>
          <w:rFonts w:ascii="Calibri" w:eastAsia="Times New Roman" w:hAnsi="Calibri" w:cs="Calibri"/>
          <w:i/>
          <w:iCs/>
          <w:kern w:val="0"/>
          <w:sz w:val="22"/>
          <w:szCs w:val="22"/>
          <w:shd w:val="clear" w:color="auto" w:fill="FFFFFF"/>
          <w:lang w:val="fr-FR" w:eastAsia="fr-FR"/>
        </w:rPr>
        <w:t>« Le travailleur a l'obligation:</w:t>
      </w:r>
    </w:p>
    <w:p w14:paraId="171FAB7F"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kern w:val="0"/>
          <w:sz w:val="22"/>
          <w:szCs w:val="22"/>
          <w:lang w:val="fr-FR" w:eastAsia="fr-FR"/>
        </w:rPr>
      </w:pPr>
      <w:r w:rsidRPr="00670028">
        <w:rPr>
          <w:rFonts w:ascii="Calibri" w:eastAsia="Times New Roman" w:hAnsi="Calibri" w:cs="Calibri"/>
          <w:i/>
          <w:iCs/>
          <w:kern w:val="0"/>
          <w:sz w:val="22"/>
          <w:szCs w:val="22"/>
          <w:lang w:val="fr-FR" w:eastAsia="fr-FR"/>
        </w:rPr>
        <w:t>3° de s'abstenir, tant au cours du contrat qu'après la cessation de celui-ci:</w:t>
      </w:r>
    </w:p>
    <w:p w14:paraId="3502E21B"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kern w:val="0"/>
          <w:sz w:val="22"/>
          <w:szCs w:val="22"/>
          <w:lang w:val="fr-FR" w:eastAsia="fr-FR"/>
        </w:rPr>
      </w:pPr>
      <w:r w:rsidRPr="00670028">
        <w:rPr>
          <w:rFonts w:ascii="Calibri" w:eastAsia="Times New Roman" w:hAnsi="Calibri" w:cs="Calibri"/>
          <w:i/>
          <w:iCs/>
          <w:kern w:val="0"/>
          <w:sz w:val="22"/>
          <w:szCs w:val="22"/>
          <w:lang w:val="fr-FR" w:eastAsia="fr-FR"/>
        </w:rPr>
        <w:t>a) d'obtenir, d'utiliser ou de divulguer de manière illicite, au sens de l'article XI.332/4 du Code de droit économique, un secret d'affaires au sens de l'article I.17/1, 1°, du même Code, dont il peut avoir connaissance dans l'exercice de son activité professionnelle, ainsi que de divulguer le secret de toute affaire à caractère personnel ou confidentiel dont il aurait eu connaissance dans l'exercice de son activité professionnelle;</w:t>
      </w:r>
    </w:p>
    <w:p w14:paraId="4AA8FDC6"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kern w:val="0"/>
          <w:sz w:val="22"/>
          <w:szCs w:val="22"/>
          <w:lang w:val="fr-FR" w:eastAsia="fr-FR"/>
        </w:rPr>
      </w:pPr>
      <w:r w:rsidRPr="00670028">
        <w:rPr>
          <w:rFonts w:ascii="Calibri" w:eastAsia="Times New Roman" w:hAnsi="Calibri" w:cs="Calibri"/>
          <w:i/>
          <w:iCs/>
          <w:kern w:val="0"/>
          <w:sz w:val="22"/>
          <w:szCs w:val="22"/>
          <w:lang w:val="fr-FR" w:eastAsia="fr-FR"/>
        </w:rPr>
        <w:t xml:space="preserve">b) de se livrer ou de coopérer à tout acte de concurrence déloyale; </w:t>
      </w:r>
    </w:p>
    <w:p w14:paraId="501C7836"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kern w:val="0"/>
          <w:sz w:val="22"/>
          <w:szCs w:val="22"/>
          <w:lang w:val="fr-FR" w:eastAsia="fr-FR"/>
        </w:rPr>
      </w:pPr>
      <w:r w:rsidRPr="00670028">
        <w:rPr>
          <w:rFonts w:ascii="Calibri" w:eastAsia="Times New Roman" w:hAnsi="Calibri" w:cs="Calibri"/>
          <w:i/>
          <w:iCs/>
          <w:kern w:val="0"/>
          <w:sz w:val="22"/>
          <w:szCs w:val="22"/>
          <w:lang w:val="fr-FR" w:eastAsia="fr-FR"/>
        </w:rPr>
        <w:t>(...) »</w:t>
      </w:r>
    </w:p>
    <w:p w14:paraId="6F3C7CF1" w14:textId="42BFFD78" w:rsidR="00670028" w:rsidRPr="00670028" w:rsidRDefault="00670028" w:rsidP="00670028">
      <w:pPr>
        <w:widowControl/>
        <w:suppressAutoHyphens w:val="0"/>
        <w:autoSpaceDN/>
        <w:spacing w:before="261" w:after="160" w:line="260" w:lineRule="exact"/>
        <w:ind w:right="144"/>
        <w:jc w:val="both"/>
        <w:rPr>
          <w:rFonts w:ascii="Calibri" w:eastAsia="Tahoma" w:hAnsi="Calibri" w:cs="Calibri"/>
          <w:color w:val="000000"/>
          <w:kern w:val="0"/>
          <w:sz w:val="22"/>
          <w:szCs w:val="22"/>
          <w:lang w:val="fr-FR" w:eastAsia="en-US"/>
        </w:rPr>
      </w:pPr>
      <w:r w:rsidRPr="00670028">
        <w:rPr>
          <w:rFonts w:ascii="Calibri" w:eastAsia="Tahoma" w:hAnsi="Calibri" w:cs="Calibri"/>
          <w:color w:val="000000"/>
          <w:kern w:val="0"/>
          <w:sz w:val="22"/>
          <w:szCs w:val="22"/>
          <w:lang w:val="fr-FR" w:eastAsia="en-US"/>
        </w:rPr>
        <w:t>Après la cessation du contrat de travail, le principe de la liberté du travail autorise le travailleur à faire concurrence à son ex-employeur, sauf clause de non-concurrence valable</w:t>
      </w:r>
      <w:r w:rsidRPr="00670028">
        <w:rPr>
          <w:rFonts w:ascii="Calibri" w:eastAsia="Tahoma" w:hAnsi="Calibri" w:cs="Calibri"/>
          <w:color w:val="000000"/>
          <w:kern w:val="0"/>
          <w:sz w:val="22"/>
          <w:szCs w:val="22"/>
          <w:vertAlign w:val="superscript"/>
          <w:lang w:val="fr-FR" w:eastAsia="en-US"/>
        </w:rPr>
        <w:footnoteReference w:id="4"/>
      </w:r>
      <w:r w:rsidRPr="00670028">
        <w:rPr>
          <w:rFonts w:ascii="Calibri" w:eastAsia="Tahoma" w:hAnsi="Calibri" w:cs="Calibri"/>
          <w:color w:val="000000"/>
          <w:kern w:val="0"/>
          <w:sz w:val="22"/>
          <w:szCs w:val="22"/>
          <w:lang w:val="fr-FR" w:eastAsia="en-US"/>
        </w:rPr>
        <w:t>. Il ne peut, cependant, se livrer ou coopérer à tout acte de concurrence déloyale (article 17, 3°, b) de la loi du 3 juillet 1978)</w:t>
      </w:r>
      <w:r w:rsidR="00472F84">
        <w:rPr>
          <w:rFonts w:ascii="Calibri" w:eastAsia="Tahoma" w:hAnsi="Calibri" w:cs="Calibri"/>
          <w:color w:val="000000"/>
          <w:kern w:val="0"/>
          <w:sz w:val="22"/>
          <w:szCs w:val="22"/>
          <w:lang w:val="fr-FR" w:eastAsia="en-US"/>
        </w:rPr>
        <w:t xml:space="preserve"> pendant l’exécution de son contrat. </w:t>
      </w:r>
    </w:p>
    <w:p w14:paraId="7E9214C5"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670028">
        <w:rPr>
          <w:rFonts w:ascii="Calibri" w:eastAsia="Calibri" w:hAnsi="Calibri" w:cs="Calibri"/>
          <w:kern w:val="0"/>
          <w:sz w:val="22"/>
          <w:szCs w:val="22"/>
          <w:shd w:val="clear" w:color="auto" w:fill="FFFFFF"/>
          <w:lang w:eastAsia="en-US"/>
        </w:rPr>
        <w:t>Les articles 65 §1</w:t>
      </w:r>
      <w:r w:rsidRPr="00670028">
        <w:rPr>
          <w:rFonts w:ascii="Calibri" w:eastAsia="Calibri" w:hAnsi="Calibri" w:cs="Calibri"/>
          <w:kern w:val="0"/>
          <w:sz w:val="22"/>
          <w:szCs w:val="22"/>
          <w:shd w:val="clear" w:color="auto" w:fill="FFFFFF"/>
          <w:vertAlign w:val="superscript"/>
          <w:lang w:eastAsia="en-US"/>
        </w:rPr>
        <w:t>er</w:t>
      </w:r>
      <w:r w:rsidRPr="00670028">
        <w:rPr>
          <w:rFonts w:ascii="Calibri" w:eastAsia="Calibri" w:hAnsi="Calibri" w:cs="Calibri"/>
          <w:kern w:val="0"/>
          <w:sz w:val="22"/>
          <w:szCs w:val="22"/>
          <w:shd w:val="clear" w:color="auto" w:fill="FFFFFF"/>
          <w:lang w:eastAsia="en-US"/>
        </w:rPr>
        <w:t xml:space="preserve"> et 86 §1</w:t>
      </w:r>
      <w:r w:rsidRPr="00670028">
        <w:rPr>
          <w:rFonts w:ascii="Calibri" w:eastAsia="Calibri" w:hAnsi="Calibri" w:cs="Calibri"/>
          <w:kern w:val="0"/>
          <w:sz w:val="22"/>
          <w:szCs w:val="22"/>
          <w:shd w:val="clear" w:color="auto" w:fill="FFFFFF"/>
          <w:vertAlign w:val="superscript"/>
          <w:lang w:eastAsia="en-US"/>
        </w:rPr>
        <w:t>er</w:t>
      </w:r>
      <w:r w:rsidRPr="00670028">
        <w:rPr>
          <w:rFonts w:ascii="Calibri" w:eastAsia="Calibri" w:hAnsi="Calibri" w:cs="Calibri"/>
          <w:kern w:val="0"/>
          <w:sz w:val="22"/>
          <w:szCs w:val="22"/>
          <w:shd w:val="clear" w:color="auto" w:fill="FFFFFF"/>
          <w:lang w:eastAsia="en-US"/>
        </w:rPr>
        <w:t xml:space="preserve">  la loi du 3 juillet 1978 </w:t>
      </w:r>
      <w:r w:rsidRPr="00670028">
        <w:rPr>
          <w:rFonts w:ascii="Calibri" w:eastAsia="Calibri" w:hAnsi="Calibri" w:cs="Calibri"/>
          <w:kern w:val="0"/>
          <w:sz w:val="22"/>
          <w:szCs w:val="22"/>
          <w:lang w:eastAsia="en-US"/>
        </w:rPr>
        <w:t>relative aux contrats de travail</w:t>
      </w:r>
      <w:r w:rsidRPr="00670028">
        <w:rPr>
          <w:rFonts w:ascii="Calibri" w:eastAsia="Calibri" w:hAnsi="Calibri" w:cs="Calibri"/>
          <w:kern w:val="0"/>
          <w:sz w:val="22"/>
          <w:szCs w:val="22"/>
          <w:shd w:val="clear" w:color="auto" w:fill="FFFFFF"/>
          <w:lang w:eastAsia="en-US"/>
        </w:rPr>
        <w:t xml:space="preserve"> définissent la clause de non-concurrence comme :</w:t>
      </w:r>
    </w:p>
    <w:p w14:paraId="4533C712" w14:textId="77777777" w:rsidR="00670028" w:rsidRPr="00670028" w:rsidRDefault="00670028" w:rsidP="00670028">
      <w:pPr>
        <w:widowControl/>
        <w:suppressAutoHyphens w:val="0"/>
        <w:autoSpaceDN/>
        <w:spacing w:after="160" w:line="256" w:lineRule="auto"/>
        <w:ind w:left="708"/>
        <w:jc w:val="both"/>
        <w:textAlignment w:val="auto"/>
        <w:rPr>
          <w:rFonts w:ascii="Calibri" w:eastAsia="Calibri" w:hAnsi="Calibri" w:cs="Calibri"/>
          <w:bCs/>
          <w:kern w:val="0"/>
          <w:sz w:val="22"/>
          <w:szCs w:val="22"/>
          <w:lang w:eastAsia="en-US"/>
        </w:rPr>
      </w:pPr>
      <w:r w:rsidRPr="00670028">
        <w:rPr>
          <w:rFonts w:ascii="Calibri" w:eastAsia="Calibri" w:hAnsi="Calibri" w:cs="Calibri"/>
          <w:i/>
          <w:iCs/>
          <w:kern w:val="0"/>
          <w:sz w:val="22"/>
          <w:szCs w:val="22"/>
          <w:shd w:val="clear" w:color="auto" w:fill="FFFFFF"/>
          <w:lang w:eastAsia="en-US"/>
        </w:rPr>
        <w:t>« La clause par laquelle l’ouvrier/l’employé s’interdit, lors  de  son  départ  de  l’entreprise,  d’exercer  des  activités  similaires,  soit  en exploitant  une  entreprise  personnelle,  soit  en  s’engageant  chez  un  employeur concurrent, ayant ainsi la possibilité de porter préjudice à l’entreprise qu’il a quittée en   utilisant,   pour   lui-même  ou  au  profit  d’un  concurrent,  les  connaissances particulières à l’entreprise qu’il a acquises dans celle-ci,  en  matière  industrielle  ou commerciale</w:t>
      </w:r>
      <w:r w:rsidRPr="00670028">
        <w:rPr>
          <w:rFonts w:ascii="Calibri" w:eastAsia="Calibri" w:hAnsi="Calibri" w:cs="Calibri"/>
          <w:kern w:val="0"/>
          <w:sz w:val="22"/>
          <w:szCs w:val="22"/>
          <w:shd w:val="clear" w:color="auto" w:fill="FFFFFF"/>
          <w:lang w:eastAsia="en-US"/>
        </w:rPr>
        <w:t xml:space="preserve">. » </w:t>
      </w:r>
    </w:p>
    <w:p w14:paraId="6E68E0F7"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La clause de non-concurrence applicable au représentant de commerce est spécifiquement régie par l’article 104 de la loi du 3 juillet 1978, lequel dispose :</w:t>
      </w:r>
    </w:p>
    <w:p w14:paraId="488B655B"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color w:val="000000"/>
          <w:kern w:val="0"/>
          <w:sz w:val="22"/>
          <w:szCs w:val="22"/>
          <w:lang w:val="fr-FR" w:eastAsia="fr-FR"/>
        </w:rPr>
      </w:pPr>
      <w:r w:rsidRPr="00670028">
        <w:rPr>
          <w:rFonts w:ascii="Calibri" w:eastAsia="Times New Roman" w:hAnsi="Calibri" w:cs="Calibri"/>
          <w:i/>
          <w:iCs/>
          <w:color w:val="000000"/>
          <w:kern w:val="0"/>
          <w:sz w:val="22"/>
          <w:szCs w:val="22"/>
          <w:lang w:val="fr-FR" w:eastAsia="fr-FR"/>
        </w:rPr>
        <w:t>« Dans les contrats où la rémunération annuelle ne dépasse pas </w:t>
      </w:r>
      <w:r w:rsidRPr="00670028">
        <w:rPr>
          <w:rFonts w:ascii="Calibri" w:eastAsia="Times New Roman" w:hAnsi="Calibri" w:cs="Calibri"/>
          <w:i/>
          <w:iCs/>
          <w:color w:val="000000"/>
          <w:kern w:val="0"/>
          <w:sz w:val="22"/>
          <w:szCs w:val="22"/>
          <w:vertAlign w:val="superscript"/>
          <w:lang w:val="fr-FR" w:eastAsia="fr-FR"/>
        </w:rPr>
        <w:t>2</w:t>
      </w:r>
      <w:r w:rsidRPr="00670028">
        <w:rPr>
          <w:rFonts w:ascii="Calibri" w:eastAsia="Times New Roman" w:hAnsi="Calibri" w:cs="Calibri"/>
          <w:i/>
          <w:iCs/>
          <w:color w:val="000000"/>
          <w:kern w:val="0"/>
          <w:sz w:val="22"/>
          <w:szCs w:val="22"/>
          <w:lang w:val="fr-FR" w:eastAsia="fr-FR"/>
        </w:rPr>
        <w:t>[16.100 EUR]</w:t>
      </w:r>
      <w:r w:rsidRPr="00670028">
        <w:rPr>
          <w:rFonts w:ascii="Calibri" w:eastAsia="Times New Roman" w:hAnsi="Calibri" w:cs="Calibri"/>
          <w:i/>
          <w:iCs/>
          <w:color w:val="000000"/>
          <w:kern w:val="0"/>
          <w:sz w:val="22"/>
          <w:szCs w:val="22"/>
          <w:vertAlign w:val="superscript"/>
          <w:lang w:val="fr-FR" w:eastAsia="fr-FR"/>
        </w:rPr>
        <w:t>2</w:t>
      </w:r>
      <w:r w:rsidRPr="00670028">
        <w:rPr>
          <w:rFonts w:ascii="Calibri" w:eastAsia="Times New Roman" w:hAnsi="Calibri" w:cs="Calibri"/>
          <w:i/>
          <w:iCs/>
          <w:color w:val="000000"/>
          <w:kern w:val="0"/>
          <w:sz w:val="22"/>
          <w:szCs w:val="22"/>
          <w:lang w:val="fr-FR" w:eastAsia="fr-FR"/>
        </w:rPr>
        <w:t>, la clause de non-concurrence est réputée inexistante.</w:t>
      </w:r>
    </w:p>
    <w:p w14:paraId="26BC3731"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color w:val="000000"/>
          <w:kern w:val="0"/>
          <w:sz w:val="22"/>
          <w:szCs w:val="22"/>
          <w:lang w:val="fr-FR" w:eastAsia="fr-FR"/>
        </w:rPr>
      </w:pPr>
      <w:r w:rsidRPr="00670028">
        <w:rPr>
          <w:rFonts w:ascii="Calibri" w:eastAsia="Times New Roman" w:hAnsi="Calibri" w:cs="Calibri"/>
          <w:i/>
          <w:iCs/>
          <w:color w:val="000000"/>
          <w:kern w:val="0"/>
          <w:sz w:val="22"/>
          <w:szCs w:val="22"/>
          <w:lang w:val="fr-FR" w:eastAsia="fr-FR"/>
        </w:rPr>
        <w:t>Dans les contrats où la rémunération annuelle est supérieure à ce montant, la validité de toute clause de non-concurrence est subordonnée à la triple condition qu'elle se rapporte à des activités similaires, qu'elle n'excède pas douze mois et qu'elle se limite au territoire sur lequel le représentant de commerce exerce son activité.</w:t>
      </w:r>
    </w:p>
    <w:p w14:paraId="1D9E1231"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color w:val="000000"/>
          <w:kern w:val="0"/>
          <w:sz w:val="22"/>
          <w:szCs w:val="22"/>
          <w:lang w:val="fr-FR" w:eastAsia="fr-FR"/>
        </w:rPr>
      </w:pPr>
      <w:r w:rsidRPr="00670028">
        <w:rPr>
          <w:rFonts w:ascii="Calibri" w:eastAsia="Times New Roman" w:hAnsi="Calibri" w:cs="Calibri"/>
          <w:i/>
          <w:iCs/>
          <w:color w:val="000000"/>
          <w:kern w:val="0"/>
          <w:sz w:val="22"/>
          <w:szCs w:val="22"/>
          <w:lang w:val="fr-FR" w:eastAsia="fr-FR"/>
        </w:rPr>
        <w:t>La clause de non-concurrence ne produit pas ses effets lorsqu'il est mis fin au contrat, soit </w:t>
      </w:r>
      <w:r w:rsidRPr="00670028">
        <w:rPr>
          <w:rFonts w:ascii="Calibri" w:eastAsia="Times New Roman" w:hAnsi="Calibri" w:cs="Calibri"/>
          <w:i/>
          <w:iCs/>
          <w:color w:val="000000"/>
          <w:kern w:val="0"/>
          <w:sz w:val="22"/>
          <w:szCs w:val="22"/>
          <w:vertAlign w:val="superscript"/>
          <w:lang w:val="fr-FR" w:eastAsia="fr-FR"/>
        </w:rPr>
        <w:t>3</w:t>
      </w:r>
      <w:r w:rsidRPr="00670028">
        <w:rPr>
          <w:rFonts w:ascii="Calibri" w:eastAsia="Times New Roman" w:hAnsi="Calibri" w:cs="Calibri"/>
          <w:i/>
          <w:iCs/>
          <w:color w:val="000000"/>
          <w:kern w:val="0"/>
          <w:sz w:val="22"/>
          <w:szCs w:val="22"/>
          <w:lang w:val="fr-FR" w:eastAsia="fr-FR"/>
        </w:rPr>
        <w:t>[durant les six premiers mois à partir du début du contrat]</w:t>
      </w:r>
      <w:r w:rsidRPr="00670028">
        <w:rPr>
          <w:rFonts w:ascii="Calibri" w:eastAsia="Times New Roman" w:hAnsi="Calibri" w:cs="Calibri"/>
          <w:i/>
          <w:iCs/>
          <w:color w:val="000000"/>
          <w:kern w:val="0"/>
          <w:sz w:val="22"/>
          <w:szCs w:val="22"/>
          <w:vertAlign w:val="superscript"/>
          <w:lang w:val="fr-FR" w:eastAsia="fr-FR"/>
        </w:rPr>
        <w:t>3</w:t>
      </w:r>
      <w:r w:rsidRPr="00670028">
        <w:rPr>
          <w:rFonts w:ascii="Calibri" w:eastAsia="Times New Roman" w:hAnsi="Calibri" w:cs="Calibri"/>
          <w:i/>
          <w:iCs/>
          <w:color w:val="000000"/>
          <w:kern w:val="0"/>
          <w:sz w:val="22"/>
          <w:szCs w:val="22"/>
          <w:lang w:val="fr-FR" w:eastAsia="fr-FR"/>
        </w:rPr>
        <w:t>, soit après cette période par l'employeur sans motif grave ou par le représentant de commerce pour motif grave.</w:t>
      </w:r>
    </w:p>
    <w:p w14:paraId="542CAEE7" w14:textId="77777777" w:rsidR="00670028" w:rsidRPr="00670028" w:rsidRDefault="00670028" w:rsidP="00670028">
      <w:pPr>
        <w:widowControl/>
        <w:suppressAutoHyphens w:val="0"/>
        <w:autoSpaceDN/>
        <w:spacing w:after="160" w:line="256" w:lineRule="auto"/>
        <w:ind w:left="708"/>
        <w:jc w:val="both"/>
        <w:textAlignment w:val="auto"/>
        <w:rPr>
          <w:rFonts w:ascii="Calibri" w:eastAsia="Times New Roman" w:hAnsi="Calibri" w:cs="Calibri"/>
          <w:i/>
          <w:iCs/>
          <w:color w:val="000000"/>
          <w:kern w:val="0"/>
          <w:sz w:val="22"/>
          <w:szCs w:val="22"/>
          <w:lang w:val="fr-FR" w:eastAsia="fr-FR"/>
        </w:rPr>
      </w:pPr>
      <w:r w:rsidRPr="00670028">
        <w:rPr>
          <w:rFonts w:ascii="Calibri" w:eastAsia="Times New Roman" w:hAnsi="Calibri" w:cs="Calibri"/>
          <w:i/>
          <w:iCs/>
          <w:color w:val="000000"/>
          <w:kern w:val="0"/>
          <w:sz w:val="22"/>
          <w:szCs w:val="22"/>
          <w:lang w:val="fr-FR" w:eastAsia="fr-FR"/>
        </w:rPr>
        <w:t>La clause de non-concurrence doit être constatée par écrit à peine de nullité ».</w:t>
      </w:r>
    </w:p>
    <w:p w14:paraId="513EAA3C" w14:textId="6FEBD7CA" w:rsidR="00670028" w:rsidRPr="00670028" w:rsidRDefault="00670028" w:rsidP="00670028">
      <w:pPr>
        <w:widowControl/>
        <w:suppressAutoHyphens w:val="0"/>
        <w:autoSpaceDN/>
        <w:spacing w:after="160" w:line="256" w:lineRule="auto"/>
        <w:jc w:val="both"/>
        <w:textAlignment w:val="auto"/>
        <w:rPr>
          <w:rFonts w:ascii="Calibri" w:eastAsia="Times New Roman" w:hAnsi="Calibri" w:cs="Calibri"/>
          <w:color w:val="000000"/>
          <w:kern w:val="0"/>
          <w:sz w:val="22"/>
          <w:szCs w:val="22"/>
          <w:lang w:val="fr-FR" w:eastAsia="fr-FR"/>
        </w:rPr>
      </w:pPr>
      <w:r w:rsidRPr="00670028">
        <w:rPr>
          <w:rFonts w:ascii="Calibri" w:eastAsia="Times New Roman" w:hAnsi="Calibri" w:cs="Calibri"/>
          <w:color w:val="000000"/>
          <w:kern w:val="0"/>
          <w:sz w:val="22"/>
          <w:szCs w:val="22"/>
          <w:lang w:val="fr-FR" w:eastAsia="fr-FR"/>
        </w:rPr>
        <w:t>Pour les représentants de commerce dont la rémunération dépasse le plafond visé au premier alinéa, la clause de non</w:t>
      </w:r>
      <w:r w:rsidR="00C3683A">
        <w:rPr>
          <w:rFonts w:ascii="Calibri" w:eastAsia="Times New Roman" w:hAnsi="Calibri" w:cs="Calibri"/>
          <w:color w:val="000000"/>
          <w:kern w:val="0"/>
          <w:sz w:val="22"/>
          <w:szCs w:val="22"/>
          <w:lang w:val="fr-FR" w:eastAsia="fr-FR"/>
        </w:rPr>
        <w:t>-</w:t>
      </w:r>
      <w:r w:rsidRPr="00670028">
        <w:rPr>
          <w:rFonts w:ascii="Calibri" w:eastAsia="Times New Roman" w:hAnsi="Calibri" w:cs="Calibri"/>
          <w:color w:val="000000"/>
          <w:kern w:val="0"/>
          <w:sz w:val="22"/>
          <w:szCs w:val="22"/>
          <w:lang w:val="fr-FR" w:eastAsia="fr-FR"/>
        </w:rPr>
        <w:t>concurrence est donc soumise à quatre conditions d’existence :  </w:t>
      </w:r>
    </w:p>
    <w:p w14:paraId="6C15A339" w14:textId="77777777" w:rsidR="00670028" w:rsidRPr="00670028" w:rsidRDefault="00670028" w:rsidP="00670028">
      <w:pPr>
        <w:widowControl/>
        <w:numPr>
          <w:ilvl w:val="0"/>
          <w:numId w:val="10"/>
        </w:numPr>
        <w:suppressAutoHyphens w:val="0"/>
        <w:autoSpaceDN/>
        <w:spacing w:after="160" w:line="256" w:lineRule="auto"/>
        <w:contextualSpacing/>
        <w:jc w:val="both"/>
        <w:textAlignment w:val="auto"/>
        <w:rPr>
          <w:rFonts w:ascii="Calibri" w:eastAsia="Times New Roman" w:hAnsi="Calibri" w:cs="Calibri"/>
          <w:color w:val="000000"/>
          <w:kern w:val="0"/>
          <w:sz w:val="22"/>
          <w:szCs w:val="22"/>
          <w:lang w:val="fr-FR" w:eastAsia="fr-FR"/>
        </w:rPr>
      </w:pPr>
      <w:r w:rsidRPr="00670028">
        <w:rPr>
          <w:rFonts w:ascii="Calibri" w:eastAsia="Times New Roman" w:hAnsi="Calibri" w:cs="Calibri"/>
          <w:color w:val="000000"/>
          <w:kern w:val="0"/>
          <w:sz w:val="22"/>
          <w:szCs w:val="22"/>
          <w:lang w:val="fr-FR" w:eastAsia="fr-FR"/>
        </w:rPr>
        <w:t>La clause doit se rapporter à des activités similaires,</w:t>
      </w:r>
    </w:p>
    <w:p w14:paraId="1523C356" w14:textId="77777777" w:rsidR="00670028" w:rsidRPr="00670028" w:rsidRDefault="00670028" w:rsidP="00670028">
      <w:pPr>
        <w:widowControl/>
        <w:numPr>
          <w:ilvl w:val="0"/>
          <w:numId w:val="10"/>
        </w:numPr>
        <w:suppressAutoHyphens w:val="0"/>
        <w:autoSpaceDN/>
        <w:spacing w:after="160" w:line="256" w:lineRule="auto"/>
        <w:contextualSpacing/>
        <w:jc w:val="both"/>
        <w:textAlignment w:val="auto"/>
        <w:rPr>
          <w:rFonts w:ascii="Calibri" w:eastAsia="Times New Roman" w:hAnsi="Calibri" w:cs="Calibri"/>
          <w:color w:val="000000"/>
          <w:kern w:val="0"/>
          <w:sz w:val="22"/>
          <w:szCs w:val="22"/>
          <w:lang w:val="fr-FR" w:eastAsia="fr-FR"/>
        </w:rPr>
      </w:pPr>
      <w:r w:rsidRPr="00670028">
        <w:rPr>
          <w:rFonts w:ascii="Calibri" w:eastAsia="Times New Roman" w:hAnsi="Calibri" w:cs="Calibri"/>
          <w:color w:val="000000"/>
          <w:kern w:val="0"/>
          <w:sz w:val="22"/>
          <w:szCs w:val="22"/>
          <w:lang w:val="fr-FR" w:eastAsia="fr-FR"/>
        </w:rPr>
        <w:t>La clause ne peut excéder 12 mois,</w:t>
      </w:r>
    </w:p>
    <w:p w14:paraId="18097703" w14:textId="77777777" w:rsidR="00670028" w:rsidRPr="00670028" w:rsidRDefault="00670028" w:rsidP="00670028">
      <w:pPr>
        <w:widowControl/>
        <w:numPr>
          <w:ilvl w:val="0"/>
          <w:numId w:val="10"/>
        </w:numPr>
        <w:suppressAutoHyphens w:val="0"/>
        <w:autoSpaceDN/>
        <w:spacing w:after="160" w:line="256" w:lineRule="auto"/>
        <w:contextualSpacing/>
        <w:jc w:val="both"/>
        <w:textAlignment w:val="auto"/>
        <w:rPr>
          <w:rFonts w:ascii="Calibri" w:eastAsia="Times New Roman" w:hAnsi="Calibri" w:cs="Calibri"/>
          <w:color w:val="000000"/>
          <w:kern w:val="0"/>
          <w:sz w:val="22"/>
          <w:szCs w:val="22"/>
          <w:lang w:val="fr-FR" w:eastAsia="fr-FR"/>
        </w:rPr>
      </w:pPr>
      <w:r w:rsidRPr="00670028">
        <w:rPr>
          <w:rFonts w:ascii="Calibri" w:eastAsia="Times New Roman" w:hAnsi="Calibri" w:cs="Calibri"/>
          <w:color w:val="000000"/>
          <w:kern w:val="0"/>
          <w:sz w:val="22"/>
          <w:szCs w:val="22"/>
          <w:lang w:val="fr-FR" w:eastAsia="fr-FR"/>
        </w:rPr>
        <w:t>La clause doit se limiter au territoire sur lequel le travailleur exerce son activité,</w:t>
      </w:r>
    </w:p>
    <w:p w14:paraId="3E276D7B" w14:textId="77777777" w:rsidR="00670028" w:rsidRPr="00670028" w:rsidRDefault="00670028" w:rsidP="00670028">
      <w:pPr>
        <w:widowControl/>
        <w:numPr>
          <w:ilvl w:val="0"/>
          <w:numId w:val="10"/>
        </w:numPr>
        <w:suppressAutoHyphens w:val="0"/>
        <w:autoSpaceDN/>
        <w:spacing w:after="160" w:line="256" w:lineRule="auto"/>
        <w:contextualSpacing/>
        <w:jc w:val="both"/>
        <w:textAlignment w:val="auto"/>
        <w:rPr>
          <w:rFonts w:ascii="Calibri" w:eastAsia="Times New Roman" w:hAnsi="Calibri" w:cs="Calibri"/>
          <w:color w:val="000000"/>
          <w:kern w:val="0"/>
          <w:sz w:val="22"/>
          <w:szCs w:val="22"/>
          <w:lang w:val="fr-FR" w:eastAsia="fr-FR"/>
        </w:rPr>
      </w:pPr>
      <w:r w:rsidRPr="00670028">
        <w:rPr>
          <w:rFonts w:ascii="Calibri" w:eastAsia="Times New Roman" w:hAnsi="Calibri" w:cs="Calibri"/>
          <w:color w:val="000000"/>
          <w:kern w:val="0"/>
          <w:sz w:val="22"/>
          <w:szCs w:val="22"/>
          <w:lang w:val="fr-FR" w:eastAsia="fr-FR"/>
        </w:rPr>
        <w:t>La clause doit être constatée par écrit à peine de nullité.  </w:t>
      </w:r>
    </w:p>
    <w:p w14:paraId="4C92F127" w14:textId="77777777" w:rsidR="00C3683A" w:rsidRDefault="00C3683A" w:rsidP="00670028">
      <w:pPr>
        <w:widowControl/>
        <w:suppressAutoHyphens w:val="0"/>
        <w:autoSpaceDN/>
        <w:spacing w:after="160" w:line="256" w:lineRule="auto"/>
        <w:jc w:val="both"/>
        <w:textAlignment w:val="auto"/>
        <w:rPr>
          <w:rFonts w:ascii="Calibri" w:eastAsia="Calibri" w:hAnsi="Calibri" w:cs="Calibri"/>
          <w:bCs/>
          <w:color w:val="000000"/>
          <w:kern w:val="0"/>
          <w:sz w:val="22"/>
          <w:szCs w:val="22"/>
          <w:lang w:val="fr-FR" w:eastAsia="en-US"/>
        </w:rPr>
      </w:pPr>
    </w:p>
    <w:p w14:paraId="099FD4CA" w14:textId="45C25DBD"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bCs/>
          <w:color w:val="000000"/>
          <w:kern w:val="0"/>
          <w:sz w:val="22"/>
          <w:szCs w:val="22"/>
          <w:lang w:val="fr-FR" w:eastAsia="en-US"/>
        </w:rPr>
        <w:t xml:space="preserve">Pour apprécier </w:t>
      </w:r>
      <w:r w:rsidRPr="00670028">
        <w:rPr>
          <w:rFonts w:ascii="Calibri" w:eastAsia="Calibri" w:hAnsi="Calibri" w:cs="Calibri"/>
          <w:bCs/>
          <w:color w:val="000000"/>
          <w:kern w:val="0"/>
          <w:sz w:val="22"/>
          <w:szCs w:val="22"/>
          <w:u w:val="single"/>
          <w:lang w:val="fr-FR" w:eastAsia="en-US"/>
        </w:rPr>
        <w:t xml:space="preserve">la condition de </w:t>
      </w:r>
      <w:r w:rsidRPr="00670028">
        <w:rPr>
          <w:rFonts w:ascii="Calibri" w:eastAsia="Calibri" w:hAnsi="Calibri" w:cs="Calibri"/>
          <w:bCs/>
          <w:i/>
          <w:iCs/>
          <w:color w:val="000000"/>
          <w:kern w:val="0"/>
          <w:sz w:val="22"/>
          <w:szCs w:val="22"/>
          <w:u w:val="single"/>
          <w:lang w:val="fr-FR" w:eastAsia="en-US"/>
        </w:rPr>
        <w:t>validité</w:t>
      </w:r>
      <w:r w:rsidRPr="00670028">
        <w:rPr>
          <w:rFonts w:ascii="Calibri" w:eastAsia="Calibri" w:hAnsi="Calibri" w:cs="Calibri"/>
          <w:bCs/>
          <w:color w:val="000000"/>
          <w:kern w:val="0"/>
          <w:sz w:val="22"/>
          <w:szCs w:val="22"/>
          <w:u w:val="single"/>
          <w:lang w:val="fr-FR" w:eastAsia="en-US"/>
        </w:rPr>
        <w:t xml:space="preserve"> de la clause quant au plafond lié à la rémunération</w:t>
      </w:r>
      <w:r w:rsidRPr="00670028">
        <w:rPr>
          <w:rFonts w:ascii="Calibri" w:eastAsia="Calibri" w:hAnsi="Calibri" w:cs="Calibri"/>
          <w:bCs/>
          <w:color w:val="000000"/>
          <w:kern w:val="0"/>
          <w:sz w:val="22"/>
          <w:szCs w:val="22"/>
          <w:lang w:val="fr-FR" w:eastAsia="en-US"/>
        </w:rPr>
        <w:t xml:space="preserve">, une jurisprudence constante estime qu’il </w:t>
      </w:r>
      <w:r w:rsidRPr="00670028">
        <w:rPr>
          <w:rFonts w:ascii="Calibri" w:eastAsia="Calibri" w:hAnsi="Calibri" w:cs="Calibri"/>
          <w:color w:val="000000"/>
          <w:kern w:val="0"/>
          <w:sz w:val="22"/>
          <w:szCs w:val="22"/>
          <w:shd w:val="clear" w:color="auto" w:fill="FFFFFF"/>
          <w:lang w:eastAsia="en-US"/>
        </w:rPr>
        <w:t>il faut prendre en compte le montant de la rémunération due au moment où la clause de non-concurrence prend effet, c'est-à-dire le jour où les relations de travail prennent fin</w:t>
      </w:r>
      <w:r w:rsidRPr="00670028">
        <w:rPr>
          <w:rFonts w:ascii="Calibri" w:eastAsia="Calibri" w:hAnsi="Calibri" w:cs="Calibri"/>
          <w:color w:val="000000"/>
          <w:kern w:val="0"/>
          <w:sz w:val="22"/>
          <w:szCs w:val="22"/>
          <w:shd w:val="clear" w:color="auto" w:fill="FFFFFF"/>
          <w:vertAlign w:val="superscript"/>
          <w:lang w:eastAsia="en-US"/>
        </w:rPr>
        <w:footnoteReference w:id="5"/>
      </w:r>
      <w:r w:rsidRPr="00670028">
        <w:rPr>
          <w:rFonts w:ascii="Calibri" w:eastAsia="Calibri" w:hAnsi="Calibri" w:cs="Calibri"/>
          <w:color w:val="000000"/>
          <w:kern w:val="0"/>
          <w:sz w:val="22"/>
          <w:szCs w:val="22"/>
          <w:shd w:val="clear" w:color="auto" w:fill="FFFFFF"/>
          <w:lang w:eastAsia="en-US"/>
        </w:rPr>
        <w:t>.</w:t>
      </w:r>
    </w:p>
    <w:p w14:paraId="53B2F956"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670028">
        <w:rPr>
          <w:rFonts w:ascii="Calibri" w:eastAsia="Calibri" w:hAnsi="Calibri" w:cs="Calibri"/>
          <w:kern w:val="0"/>
          <w:sz w:val="22"/>
          <w:szCs w:val="22"/>
          <w:shd w:val="clear" w:color="auto" w:fill="FFFFFF"/>
          <w:lang w:eastAsia="en-US"/>
        </w:rPr>
        <w:t>Suivant  la  Cour  de  cassation,  la  rémunération  annuelle  au  sens  de article 104, alinéa 1er, s'entend donc du montant, calculé sur la base d'une année, de la rémunération en cours à ce moment, telle qu'elle est définie à l'article 39, § 1er, alinéa 2, de la loi du 3 juillet 1978</w:t>
      </w:r>
      <w:r w:rsidRPr="00670028">
        <w:rPr>
          <w:rFonts w:ascii="Calibri" w:eastAsia="Calibri" w:hAnsi="Calibri" w:cs="Calibri"/>
          <w:kern w:val="0"/>
          <w:sz w:val="22"/>
          <w:szCs w:val="22"/>
          <w:shd w:val="clear" w:color="auto" w:fill="FFFFFF"/>
          <w:vertAlign w:val="superscript"/>
          <w:lang w:eastAsia="en-US"/>
        </w:rPr>
        <w:footnoteReference w:id="6"/>
      </w:r>
      <w:r w:rsidRPr="00670028">
        <w:rPr>
          <w:rFonts w:ascii="Calibri" w:eastAsia="Calibri" w:hAnsi="Calibri" w:cs="Calibri"/>
          <w:kern w:val="0"/>
          <w:sz w:val="22"/>
          <w:szCs w:val="22"/>
          <w:shd w:val="clear" w:color="auto" w:fill="FFFFFF"/>
          <w:lang w:eastAsia="en-US"/>
        </w:rPr>
        <w:t>. Il  y  a  donc  lieu  de  tenir  compte  non  seulement  de  la  rémunération  en cours, mais aussi des avantages acquis en vertu du contrat de travail</w:t>
      </w:r>
      <w:r w:rsidRPr="00670028">
        <w:rPr>
          <w:rFonts w:ascii="Calibri" w:eastAsia="Calibri" w:hAnsi="Calibri" w:cs="Calibri"/>
          <w:kern w:val="0"/>
          <w:sz w:val="22"/>
          <w:szCs w:val="22"/>
          <w:shd w:val="clear" w:color="auto" w:fill="FFFFFF"/>
          <w:vertAlign w:val="superscript"/>
          <w:lang w:eastAsia="en-US"/>
        </w:rPr>
        <w:footnoteReference w:id="7"/>
      </w:r>
      <w:r w:rsidRPr="00670028">
        <w:rPr>
          <w:rFonts w:ascii="Calibri" w:eastAsia="Calibri" w:hAnsi="Calibri" w:cs="Calibri"/>
          <w:kern w:val="0"/>
          <w:sz w:val="22"/>
          <w:szCs w:val="22"/>
          <w:shd w:val="clear" w:color="auto" w:fill="FFFFFF"/>
          <w:lang w:eastAsia="en-US"/>
        </w:rPr>
        <w:t>.</w:t>
      </w:r>
    </w:p>
    <w:p w14:paraId="14143BAD"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670028">
        <w:rPr>
          <w:rFonts w:ascii="Calibri" w:eastAsia="Calibri" w:hAnsi="Calibri" w:cs="Calibri"/>
          <w:kern w:val="0"/>
          <w:sz w:val="22"/>
          <w:szCs w:val="22"/>
          <w:shd w:val="clear" w:color="auto" w:fill="FFFFFF"/>
          <w:lang w:eastAsia="en-US"/>
        </w:rPr>
        <w:t>Compte tenu de la nature de la condition de rémunération minimale, la Cour de cassation a dit pour droit que le non-respect de cette condition entraîne la nullité de la clause, s’agissant d’une condition de validité, dont l’objectif est la protection du travailleur</w:t>
      </w:r>
      <w:r w:rsidRPr="00670028">
        <w:rPr>
          <w:rFonts w:ascii="Calibri" w:eastAsia="Calibri" w:hAnsi="Calibri" w:cs="Calibri"/>
          <w:kern w:val="0"/>
          <w:sz w:val="22"/>
          <w:szCs w:val="22"/>
          <w:shd w:val="clear" w:color="auto" w:fill="FFFFFF"/>
          <w:vertAlign w:val="superscript"/>
          <w:lang w:eastAsia="en-US"/>
        </w:rPr>
        <w:footnoteReference w:id="8"/>
      </w:r>
      <w:r w:rsidRPr="00670028">
        <w:rPr>
          <w:rFonts w:ascii="Calibri" w:eastAsia="Calibri" w:hAnsi="Calibri" w:cs="Calibri"/>
          <w:kern w:val="0"/>
          <w:sz w:val="22"/>
          <w:szCs w:val="22"/>
          <w:shd w:val="clear" w:color="auto" w:fill="FFFFFF"/>
          <w:lang w:eastAsia="en-US"/>
        </w:rPr>
        <w:t xml:space="preserve">. </w:t>
      </w:r>
    </w:p>
    <w:p w14:paraId="674210BF" w14:textId="2D47EC1A" w:rsid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670028">
        <w:rPr>
          <w:rFonts w:ascii="Calibri" w:eastAsia="Calibri" w:hAnsi="Calibri" w:cs="Calibri"/>
          <w:kern w:val="0"/>
          <w:sz w:val="22"/>
          <w:szCs w:val="22"/>
          <w:shd w:val="clear" w:color="auto" w:fill="FFFFFF"/>
          <w:lang w:eastAsia="en-US"/>
        </w:rPr>
        <w:t>Dès lors, vu l’objectif poursuivi par le législateur</w:t>
      </w:r>
      <w:r w:rsidR="00575C16">
        <w:rPr>
          <w:rFonts w:ascii="Calibri" w:eastAsia="Calibri" w:hAnsi="Calibri" w:cs="Calibri"/>
          <w:kern w:val="0"/>
          <w:sz w:val="22"/>
          <w:szCs w:val="22"/>
          <w:shd w:val="clear" w:color="auto" w:fill="FFFFFF"/>
          <w:lang w:eastAsia="en-US"/>
        </w:rPr>
        <w:t xml:space="preserve"> – la protection du travailleur- </w:t>
      </w:r>
      <w:r w:rsidRPr="00670028">
        <w:rPr>
          <w:rFonts w:ascii="Calibri" w:eastAsia="Calibri" w:hAnsi="Calibri" w:cs="Calibri"/>
          <w:kern w:val="0"/>
          <w:sz w:val="22"/>
          <w:szCs w:val="22"/>
          <w:shd w:val="clear" w:color="auto" w:fill="FFFFFF"/>
          <w:lang w:eastAsia="en-US"/>
        </w:rPr>
        <w:t xml:space="preserve"> seul </w:t>
      </w:r>
      <w:r w:rsidR="00575C16">
        <w:rPr>
          <w:rFonts w:ascii="Calibri" w:eastAsia="Calibri" w:hAnsi="Calibri" w:cs="Calibri"/>
          <w:kern w:val="0"/>
          <w:sz w:val="22"/>
          <w:szCs w:val="22"/>
          <w:shd w:val="clear" w:color="auto" w:fill="FFFFFF"/>
          <w:lang w:eastAsia="en-US"/>
        </w:rPr>
        <w:t>ce dernier</w:t>
      </w:r>
      <w:r w:rsidRPr="00670028">
        <w:rPr>
          <w:rFonts w:ascii="Calibri" w:eastAsia="Calibri" w:hAnsi="Calibri" w:cs="Calibri"/>
          <w:kern w:val="0"/>
          <w:sz w:val="22"/>
          <w:szCs w:val="22"/>
          <w:shd w:val="clear" w:color="auto" w:fill="FFFFFF"/>
          <w:lang w:eastAsia="en-US"/>
        </w:rPr>
        <w:t xml:space="preserve"> peut invoquer le fait que la clause de non-concurrence doit être réputée inexistante en cas de non-respect du salaire minimum</w:t>
      </w:r>
      <w:r w:rsidRPr="00670028">
        <w:rPr>
          <w:rFonts w:ascii="Calibri" w:eastAsia="Calibri" w:hAnsi="Calibri" w:cs="Calibri"/>
          <w:kern w:val="0"/>
          <w:sz w:val="22"/>
          <w:szCs w:val="22"/>
          <w:shd w:val="clear" w:color="auto" w:fill="FFFFFF"/>
          <w:vertAlign w:val="superscript"/>
          <w:lang w:eastAsia="en-US"/>
        </w:rPr>
        <w:footnoteReference w:id="9"/>
      </w:r>
      <w:r w:rsidRPr="00670028">
        <w:rPr>
          <w:rFonts w:ascii="Calibri" w:eastAsia="Calibri" w:hAnsi="Calibri" w:cs="Calibri"/>
          <w:kern w:val="0"/>
          <w:sz w:val="22"/>
          <w:szCs w:val="22"/>
          <w:shd w:val="clear" w:color="auto" w:fill="FFFFFF"/>
          <w:lang w:eastAsia="en-US"/>
        </w:rPr>
        <w:t xml:space="preserve">. </w:t>
      </w:r>
    </w:p>
    <w:p w14:paraId="3B3970A5" w14:textId="77777777" w:rsidR="00575C16" w:rsidRPr="00670028" w:rsidRDefault="00575C16" w:rsidP="00670028">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p>
    <w:p w14:paraId="6B29B7F6" w14:textId="77777777" w:rsidR="00670028" w:rsidRPr="00670028" w:rsidRDefault="00670028" w:rsidP="00670028">
      <w:pPr>
        <w:widowControl/>
        <w:numPr>
          <w:ilvl w:val="2"/>
          <w:numId w:val="8"/>
        </w:numPr>
        <w:suppressAutoHyphens w:val="0"/>
        <w:autoSpaceDN/>
        <w:spacing w:after="160" w:line="256" w:lineRule="auto"/>
        <w:contextualSpacing/>
        <w:jc w:val="both"/>
        <w:textAlignment w:val="auto"/>
        <w:rPr>
          <w:rFonts w:ascii="Calibri" w:eastAsia="Calibri" w:hAnsi="Calibri" w:cs="Calibri"/>
          <w:b/>
          <w:kern w:val="0"/>
          <w:sz w:val="22"/>
          <w:szCs w:val="22"/>
          <w:u w:val="single"/>
          <w:lang w:eastAsia="en-US"/>
        </w:rPr>
      </w:pPr>
      <w:r w:rsidRPr="00670028">
        <w:rPr>
          <w:rFonts w:ascii="Calibri" w:eastAsia="Calibri" w:hAnsi="Calibri" w:cs="Calibri"/>
          <w:b/>
          <w:kern w:val="0"/>
          <w:sz w:val="22"/>
          <w:szCs w:val="22"/>
          <w:u w:val="single"/>
          <w:lang w:eastAsia="en-US"/>
        </w:rPr>
        <w:t>L’application des principes au litige</w:t>
      </w:r>
    </w:p>
    <w:p w14:paraId="3A835413"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1.</w:t>
      </w:r>
    </w:p>
    <w:p w14:paraId="5B3D328B" w14:textId="3DA530F9"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bCs/>
          <w:kern w:val="0"/>
          <w:sz w:val="22"/>
          <w:szCs w:val="22"/>
          <w:lang w:eastAsia="en-US"/>
        </w:rPr>
        <w:t xml:space="preserve">Compte tenu de la nature de la condition liée à la rémunération – </w:t>
      </w:r>
      <w:r w:rsidR="00575C16">
        <w:rPr>
          <w:rFonts w:ascii="Calibri" w:eastAsia="Calibri" w:hAnsi="Calibri" w:cs="Calibri"/>
          <w:bCs/>
          <w:kern w:val="0"/>
          <w:sz w:val="22"/>
          <w:szCs w:val="22"/>
          <w:lang w:eastAsia="en-US"/>
        </w:rPr>
        <w:t>une condition de</w:t>
      </w:r>
      <w:r w:rsidRPr="00670028">
        <w:rPr>
          <w:rFonts w:ascii="Calibri" w:eastAsia="Calibri" w:hAnsi="Calibri" w:cs="Calibri"/>
          <w:bCs/>
          <w:kern w:val="0"/>
          <w:sz w:val="22"/>
          <w:szCs w:val="22"/>
          <w:lang w:eastAsia="en-US"/>
        </w:rPr>
        <w:t xml:space="preserve"> validité de la clause- la société </w:t>
      </w:r>
      <w:r w:rsidRPr="00670028">
        <w:rPr>
          <w:rFonts w:ascii="Calibri" w:eastAsia="Calibri" w:hAnsi="Calibri" w:cs="Calibri"/>
          <w:bCs/>
          <w:kern w:val="0"/>
          <w:sz w:val="22"/>
          <w:szCs w:val="22"/>
          <w:lang w:val="fr-FR" w:eastAsia="en-US"/>
        </w:rPr>
        <w:t xml:space="preserve">MLD CONCEPT est irrecevable à invoquer l’inexistence de la clause sur cette base, vu sa qualité de tiers au contrat de travail conclu entre la société </w:t>
      </w:r>
      <w:r w:rsidRPr="00670028">
        <w:rPr>
          <w:rFonts w:ascii="Calibri" w:eastAsia="Calibri" w:hAnsi="Calibri" w:cs="Calibri"/>
          <w:color w:val="000000"/>
          <w:kern w:val="0"/>
          <w:sz w:val="22"/>
          <w:szCs w:val="22"/>
          <w:shd w:val="clear" w:color="auto" w:fill="FFFFFF"/>
          <w:lang w:eastAsia="en-US"/>
        </w:rPr>
        <w:t xml:space="preserve">PROMAS et </w:t>
      </w:r>
      <w:r w:rsidR="00C3683A">
        <w:rPr>
          <w:rFonts w:ascii="Calibri" w:eastAsia="Calibri" w:hAnsi="Calibri" w:cs="Calibri"/>
          <w:color w:val="000000"/>
          <w:kern w:val="0"/>
          <w:sz w:val="22"/>
          <w:szCs w:val="22"/>
          <w:shd w:val="clear" w:color="auto" w:fill="FFFFFF"/>
          <w:lang w:eastAsia="en-US"/>
        </w:rPr>
        <w:t>M</w:t>
      </w:r>
      <w:r w:rsidRPr="00670028">
        <w:rPr>
          <w:rFonts w:ascii="Calibri" w:eastAsia="Calibri" w:hAnsi="Calibri" w:cs="Calibri"/>
          <w:color w:val="000000"/>
          <w:kern w:val="0"/>
          <w:sz w:val="22"/>
          <w:szCs w:val="22"/>
          <w:shd w:val="clear" w:color="auto" w:fill="FFFFFF"/>
          <w:lang w:eastAsia="en-US"/>
        </w:rPr>
        <w:t xml:space="preserve">onsieur </w:t>
      </w:r>
      <w:r w:rsidR="00AA321F">
        <w:rPr>
          <w:rFonts w:ascii="Calibri" w:eastAsia="Calibri" w:hAnsi="Calibri" w:cs="Calibri"/>
          <w:color w:val="000000"/>
          <w:kern w:val="0"/>
          <w:sz w:val="22"/>
          <w:szCs w:val="22"/>
          <w:shd w:val="clear" w:color="auto" w:fill="FFFFFF"/>
          <w:lang w:eastAsia="en-US"/>
        </w:rPr>
        <w:t>K</w:t>
      </w:r>
      <w:r w:rsidRPr="00670028">
        <w:rPr>
          <w:rFonts w:ascii="Calibri" w:eastAsia="Calibri" w:hAnsi="Calibri" w:cs="Calibri"/>
          <w:color w:val="000000"/>
          <w:kern w:val="0"/>
          <w:sz w:val="22"/>
          <w:szCs w:val="22"/>
          <w:shd w:val="clear" w:color="auto" w:fill="FFFFFF"/>
          <w:lang w:eastAsia="en-US"/>
        </w:rPr>
        <w:t>.</w:t>
      </w:r>
    </w:p>
    <w:p w14:paraId="55C8EFF0"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color w:val="000000"/>
          <w:kern w:val="0"/>
          <w:sz w:val="22"/>
          <w:szCs w:val="22"/>
          <w:shd w:val="clear" w:color="auto" w:fill="FFFFFF"/>
          <w:lang w:eastAsia="en-US"/>
        </w:rPr>
        <w:t>2.</w:t>
      </w:r>
    </w:p>
    <w:p w14:paraId="18A9A42E" w14:textId="1A7F1DF9"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color w:val="000000"/>
          <w:kern w:val="0"/>
          <w:sz w:val="22"/>
          <w:szCs w:val="22"/>
          <w:shd w:val="clear" w:color="auto" w:fill="FFFFFF"/>
          <w:lang w:eastAsia="en-US"/>
        </w:rPr>
        <w:t xml:space="preserve">En tout état de cause, </w:t>
      </w:r>
      <w:r w:rsidR="00C3683A">
        <w:rPr>
          <w:rFonts w:ascii="Calibri" w:eastAsia="Calibri" w:hAnsi="Calibri" w:cs="Calibri"/>
          <w:color w:val="000000"/>
          <w:kern w:val="0"/>
          <w:sz w:val="22"/>
          <w:szCs w:val="22"/>
          <w:shd w:val="clear" w:color="auto" w:fill="FFFFFF"/>
          <w:lang w:eastAsia="en-US"/>
        </w:rPr>
        <w:t>M</w:t>
      </w:r>
      <w:r w:rsidRPr="00670028">
        <w:rPr>
          <w:rFonts w:ascii="Calibri" w:eastAsia="Calibri" w:hAnsi="Calibri" w:cs="Calibri"/>
          <w:color w:val="000000"/>
          <w:kern w:val="0"/>
          <w:sz w:val="22"/>
          <w:szCs w:val="22"/>
          <w:shd w:val="clear" w:color="auto" w:fill="FFFFFF"/>
          <w:lang w:eastAsia="en-US"/>
        </w:rPr>
        <w:t xml:space="preserve">onsieur </w:t>
      </w:r>
      <w:r w:rsidR="00AA321F">
        <w:rPr>
          <w:rFonts w:ascii="Calibri" w:eastAsia="Calibri" w:hAnsi="Calibri" w:cs="Calibri"/>
          <w:color w:val="000000"/>
          <w:kern w:val="0"/>
          <w:sz w:val="22"/>
          <w:szCs w:val="22"/>
          <w:shd w:val="clear" w:color="auto" w:fill="FFFFFF"/>
          <w:lang w:eastAsia="en-US"/>
        </w:rPr>
        <w:t>K</w:t>
      </w:r>
      <w:r w:rsidRPr="00670028">
        <w:rPr>
          <w:rFonts w:ascii="Calibri" w:eastAsia="Calibri" w:hAnsi="Calibri" w:cs="Calibri"/>
          <w:color w:val="000000"/>
          <w:kern w:val="0"/>
          <w:sz w:val="22"/>
          <w:szCs w:val="22"/>
          <w:shd w:val="clear" w:color="auto" w:fill="FFFFFF"/>
          <w:lang w:eastAsia="en-US"/>
        </w:rPr>
        <w:t xml:space="preserve"> s’en réfère à l’argumentation de la société MLD CONCEPT concernant la validité de la clause. </w:t>
      </w:r>
    </w:p>
    <w:p w14:paraId="3F0C31F5"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color w:val="000000"/>
          <w:kern w:val="0"/>
          <w:sz w:val="22"/>
          <w:szCs w:val="22"/>
          <w:shd w:val="clear" w:color="auto" w:fill="FFFFFF"/>
          <w:lang w:eastAsia="en-US"/>
        </w:rPr>
        <w:t xml:space="preserve">En terme de conclusions de synthèse, la société MLD CONCEPT soutient qu’il y a lieu de tenir compte de la rémunération due au moment où la clause produit ses effets, c’est-à-dire au jour où les relations de travail prennent fin. </w:t>
      </w:r>
    </w:p>
    <w:p w14:paraId="51E55527"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670028">
        <w:rPr>
          <w:rFonts w:ascii="Calibri" w:eastAsia="Calibri" w:hAnsi="Calibri" w:cs="Calibri"/>
          <w:color w:val="000000"/>
          <w:kern w:val="0"/>
          <w:sz w:val="22"/>
          <w:szCs w:val="22"/>
          <w:shd w:val="clear" w:color="auto" w:fill="FFFFFF"/>
          <w:lang w:eastAsia="en-US"/>
        </w:rPr>
        <w:t xml:space="preserve">Cette analyse est conforme à la jurisprudence constante de la Cour de cassation et doit être approuvée. </w:t>
      </w:r>
    </w:p>
    <w:p w14:paraId="66008824" w14:textId="76696EA0" w:rsid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color w:val="000000"/>
          <w:kern w:val="0"/>
          <w:sz w:val="22"/>
          <w:szCs w:val="22"/>
          <w:shd w:val="clear" w:color="auto" w:fill="FFFFFF"/>
          <w:lang w:eastAsia="en-US"/>
        </w:rPr>
        <w:t xml:space="preserve">La société MLD CONCEPT renvoie à la rémunération visée dans le contrat de travail de </w:t>
      </w:r>
      <w:r w:rsidR="00C3683A">
        <w:rPr>
          <w:rFonts w:ascii="Calibri" w:eastAsia="Calibri" w:hAnsi="Calibri" w:cs="Calibri"/>
          <w:color w:val="000000"/>
          <w:kern w:val="0"/>
          <w:sz w:val="22"/>
          <w:szCs w:val="22"/>
          <w:shd w:val="clear" w:color="auto" w:fill="FFFFFF"/>
          <w:lang w:eastAsia="en-US"/>
        </w:rPr>
        <w:t>M</w:t>
      </w:r>
      <w:r w:rsidRPr="00670028">
        <w:rPr>
          <w:rFonts w:ascii="Calibri" w:eastAsia="Calibri" w:hAnsi="Calibri" w:cs="Calibri"/>
          <w:color w:val="000000"/>
          <w:kern w:val="0"/>
          <w:sz w:val="22"/>
          <w:szCs w:val="22"/>
          <w:shd w:val="clear" w:color="auto" w:fill="FFFFFF"/>
          <w:lang w:eastAsia="en-US"/>
        </w:rPr>
        <w:t>onsieur</w:t>
      </w:r>
      <w:r w:rsidR="00C3683A">
        <w:rPr>
          <w:rFonts w:ascii="Calibri" w:eastAsia="Calibri" w:hAnsi="Calibri" w:cs="Calibri"/>
          <w:color w:val="000000"/>
          <w:kern w:val="0"/>
          <w:sz w:val="22"/>
          <w:szCs w:val="22"/>
          <w:shd w:val="clear" w:color="auto" w:fill="FFFFFF"/>
          <w:lang w:eastAsia="en-US"/>
        </w:rPr>
        <w:t> </w:t>
      </w:r>
      <w:r w:rsidR="00AA321F">
        <w:rPr>
          <w:rFonts w:ascii="Calibri" w:eastAsia="Calibri" w:hAnsi="Calibri" w:cs="Calibri"/>
          <w:color w:val="000000"/>
          <w:kern w:val="0"/>
          <w:sz w:val="22"/>
          <w:szCs w:val="22"/>
          <w:shd w:val="clear" w:color="auto" w:fill="FFFFFF"/>
          <w:lang w:eastAsia="en-US"/>
        </w:rPr>
        <w:t>K</w:t>
      </w:r>
      <w:r w:rsidRPr="00670028">
        <w:rPr>
          <w:rFonts w:ascii="Calibri" w:eastAsia="Calibri" w:hAnsi="Calibri" w:cs="Calibri"/>
          <w:color w:val="000000"/>
          <w:kern w:val="0"/>
          <w:sz w:val="22"/>
          <w:szCs w:val="22"/>
          <w:shd w:val="clear" w:color="auto" w:fill="FFFFFF"/>
          <w:lang w:eastAsia="en-US"/>
        </w:rPr>
        <w:t xml:space="preserve"> (1</w:t>
      </w:r>
      <w:r w:rsidR="00C3683A">
        <w:rPr>
          <w:rFonts w:ascii="Calibri" w:eastAsia="Calibri" w:hAnsi="Calibri" w:cs="Calibri"/>
          <w:color w:val="000000"/>
          <w:kern w:val="0"/>
          <w:sz w:val="22"/>
          <w:szCs w:val="22"/>
          <w:shd w:val="clear" w:color="auto" w:fill="FFFFFF"/>
          <w:lang w:eastAsia="en-US"/>
        </w:rPr>
        <w:t>.</w:t>
      </w:r>
      <w:r w:rsidRPr="00670028">
        <w:rPr>
          <w:rFonts w:ascii="Calibri" w:eastAsia="Calibri" w:hAnsi="Calibri" w:cs="Calibri"/>
          <w:color w:val="000000"/>
          <w:kern w:val="0"/>
          <w:sz w:val="22"/>
          <w:szCs w:val="22"/>
          <w:shd w:val="clear" w:color="auto" w:fill="FFFFFF"/>
          <w:lang w:eastAsia="en-US"/>
        </w:rPr>
        <w:t>400</w:t>
      </w:r>
      <w:r w:rsidR="00C3683A">
        <w:rPr>
          <w:rFonts w:ascii="Calibri" w:eastAsia="Calibri" w:hAnsi="Calibri" w:cs="Calibri"/>
          <w:color w:val="000000"/>
          <w:kern w:val="0"/>
          <w:sz w:val="22"/>
          <w:szCs w:val="22"/>
          <w:shd w:val="clear" w:color="auto" w:fill="FFFFFF"/>
          <w:lang w:eastAsia="en-US"/>
        </w:rPr>
        <w:t>,00 </w:t>
      </w:r>
      <w:r w:rsidRPr="00670028">
        <w:rPr>
          <w:rFonts w:ascii="Calibri" w:eastAsia="Calibri" w:hAnsi="Calibri" w:cs="Calibri"/>
          <w:color w:val="000000"/>
          <w:kern w:val="0"/>
          <w:sz w:val="22"/>
          <w:szCs w:val="22"/>
          <w:shd w:val="clear" w:color="auto" w:fill="FFFFFF"/>
          <w:lang w:eastAsia="en-US"/>
        </w:rPr>
        <w:t xml:space="preserve">euros), pour en déduire l’inexistence de la clause, vu l’infériorité de ce montant par rapport au seuil légal. </w:t>
      </w:r>
      <w:r w:rsidRPr="00670028">
        <w:rPr>
          <w:rFonts w:ascii="Calibri" w:eastAsia="Calibri" w:hAnsi="Calibri" w:cs="Calibri"/>
          <w:kern w:val="0"/>
          <w:sz w:val="22"/>
          <w:szCs w:val="22"/>
          <w:lang w:eastAsia="en-US"/>
        </w:rPr>
        <w:t>Dans la mesure où le contrat de travail a pris fin le 04</w:t>
      </w:r>
      <w:r w:rsidR="00C3683A">
        <w:rPr>
          <w:rFonts w:ascii="Calibri" w:eastAsia="Calibri" w:hAnsi="Calibri" w:cs="Calibri"/>
          <w:kern w:val="0"/>
          <w:sz w:val="22"/>
          <w:szCs w:val="22"/>
          <w:lang w:eastAsia="en-US"/>
        </w:rPr>
        <w:t> </w:t>
      </w:r>
      <w:r w:rsidRPr="00670028">
        <w:rPr>
          <w:rFonts w:ascii="Calibri" w:eastAsia="Calibri" w:hAnsi="Calibri" w:cs="Calibri"/>
          <w:kern w:val="0"/>
          <w:sz w:val="22"/>
          <w:szCs w:val="22"/>
          <w:lang w:eastAsia="en-US"/>
        </w:rPr>
        <w:t>avril</w:t>
      </w:r>
      <w:r w:rsidR="00C3683A">
        <w:rPr>
          <w:rFonts w:ascii="Calibri" w:eastAsia="Calibri" w:hAnsi="Calibri" w:cs="Calibri"/>
          <w:kern w:val="0"/>
          <w:sz w:val="22"/>
          <w:szCs w:val="22"/>
          <w:lang w:eastAsia="en-US"/>
        </w:rPr>
        <w:t> </w:t>
      </w:r>
      <w:r w:rsidRPr="00670028">
        <w:rPr>
          <w:rFonts w:ascii="Calibri" w:eastAsia="Calibri" w:hAnsi="Calibri" w:cs="Calibri"/>
          <w:kern w:val="0"/>
          <w:sz w:val="22"/>
          <w:szCs w:val="22"/>
          <w:lang w:eastAsia="en-US"/>
        </w:rPr>
        <w:t xml:space="preserve">2021, il y a lieu de tenir compte de la rémunération annuelle </w:t>
      </w:r>
      <w:r w:rsidR="00575C16">
        <w:rPr>
          <w:rFonts w:ascii="Calibri" w:eastAsia="Calibri" w:hAnsi="Calibri" w:cs="Calibri"/>
          <w:kern w:val="0"/>
          <w:sz w:val="22"/>
          <w:szCs w:val="22"/>
          <w:lang w:eastAsia="en-US"/>
        </w:rPr>
        <w:t>perçue par</w:t>
      </w:r>
      <w:r w:rsidRPr="00670028">
        <w:rPr>
          <w:rFonts w:ascii="Calibri" w:eastAsia="Calibri" w:hAnsi="Calibri" w:cs="Calibri"/>
          <w:kern w:val="0"/>
          <w:sz w:val="22"/>
          <w:szCs w:val="22"/>
          <w:lang w:eastAsia="en-US"/>
        </w:rPr>
        <w:t xml:space="preserve"> </w:t>
      </w:r>
      <w:r w:rsidR="00C3683A">
        <w:rPr>
          <w:rFonts w:ascii="Calibri" w:eastAsia="Calibri" w:hAnsi="Calibri" w:cs="Calibri"/>
          <w:kern w:val="0"/>
          <w:sz w:val="22"/>
          <w:szCs w:val="22"/>
          <w:lang w:eastAsia="en-US"/>
        </w:rPr>
        <w:t>M</w:t>
      </w:r>
      <w:r w:rsidRPr="00670028">
        <w:rPr>
          <w:rFonts w:ascii="Calibri" w:eastAsia="Calibri" w:hAnsi="Calibri" w:cs="Calibri"/>
          <w:kern w:val="0"/>
          <w:sz w:val="22"/>
          <w:szCs w:val="22"/>
          <w:lang w:eastAsia="en-US"/>
        </w:rPr>
        <w:t xml:space="preserve">onsieur </w:t>
      </w:r>
      <w:r w:rsidR="00AA321F">
        <w:rPr>
          <w:rFonts w:ascii="Calibri" w:eastAsia="Calibri" w:hAnsi="Calibri" w:cs="Calibri"/>
          <w:kern w:val="0"/>
          <w:sz w:val="22"/>
          <w:szCs w:val="22"/>
          <w:lang w:eastAsia="en-US"/>
        </w:rPr>
        <w:t>K</w:t>
      </w:r>
      <w:r w:rsidRPr="00670028">
        <w:rPr>
          <w:rFonts w:ascii="Calibri" w:eastAsia="Calibri" w:hAnsi="Calibri" w:cs="Calibri"/>
          <w:kern w:val="0"/>
          <w:sz w:val="22"/>
          <w:szCs w:val="22"/>
          <w:lang w:eastAsia="en-US"/>
        </w:rPr>
        <w:t xml:space="preserve"> à ce moment. </w:t>
      </w:r>
    </w:p>
    <w:p w14:paraId="77672B29" w14:textId="77777777" w:rsidR="00C3683A" w:rsidRPr="00670028" w:rsidRDefault="00C3683A"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3D73B827" w14:textId="53ECABEB"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color w:val="000000"/>
          <w:kern w:val="0"/>
          <w:sz w:val="22"/>
          <w:szCs w:val="22"/>
          <w:shd w:val="clear" w:color="auto" w:fill="FFFFFF"/>
          <w:lang w:eastAsia="en-US"/>
        </w:rPr>
        <w:t>La société PROMAS dépose le dé</w:t>
      </w:r>
      <w:r w:rsidRPr="00670028">
        <w:rPr>
          <w:rFonts w:ascii="Calibri" w:eastAsia="Calibri" w:hAnsi="Calibri" w:cs="Calibri"/>
          <w:kern w:val="0"/>
          <w:sz w:val="22"/>
          <w:szCs w:val="22"/>
          <w:lang w:eastAsia="en-US"/>
        </w:rPr>
        <w:t xml:space="preserve">compte individuel de Monsieur </w:t>
      </w:r>
      <w:r w:rsidR="00AA321F">
        <w:rPr>
          <w:rFonts w:ascii="Calibri" w:eastAsia="Calibri" w:hAnsi="Calibri" w:cs="Calibri"/>
          <w:kern w:val="0"/>
          <w:sz w:val="22"/>
          <w:szCs w:val="22"/>
          <w:lang w:eastAsia="en-US"/>
        </w:rPr>
        <w:t>K</w:t>
      </w:r>
      <w:r w:rsidRPr="00670028">
        <w:rPr>
          <w:rFonts w:ascii="Calibri" w:eastAsia="Calibri" w:hAnsi="Calibri" w:cs="Calibri"/>
          <w:kern w:val="0"/>
          <w:sz w:val="22"/>
          <w:szCs w:val="22"/>
          <w:lang w:eastAsia="en-US"/>
        </w:rPr>
        <w:t xml:space="preserve"> qui atteste qu’à la date de </w:t>
      </w:r>
      <w:r w:rsidR="00536C1E">
        <w:rPr>
          <w:rFonts w:ascii="Calibri" w:eastAsia="Calibri" w:hAnsi="Calibri" w:cs="Calibri"/>
          <w:kern w:val="0"/>
          <w:sz w:val="22"/>
          <w:szCs w:val="22"/>
          <w:lang w:eastAsia="en-US"/>
        </w:rPr>
        <w:t xml:space="preserve">la </w:t>
      </w:r>
      <w:r w:rsidRPr="00670028">
        <w:rPr>
          <w:rFonts w:ascii="Calibri" w:eastAsia="Calibri" w:hAnsi="Calibri" w:cs="Calibri"/>
          <w:kern w:val="0"/>
          <w:sz w:val="22"/>
          <w:szCs w:val="22"/>
          <w:lang w:eastAsia="en-US"/>
        </w:rPr>
        <w:t>rupture des relations contractuelles entre parties, celui-ci proméritait une rémunération annuelle brute de 90.264,80</w:t>
      </w:r>
      <w:r w:rsidR="00C3683A">
        <w:rPr>
          <w:rFonts w:ascii="Calibri" w:eastAsia="Calibri" w:hAnsi="Calibri" w:cs="Calibri"/>
          <w:kern w:val="0"/>
          <w:sz w:val="22"/>
          <w:szCs w:val="22"/>
          <w:lang w:eastAsia="en-US"/>
        </w:rPr>
        <w:t> </w:t>
      </w:r>
      <w:r w:rsidRPr="00670028">
        <w:rPr>
          <w:rFonts w:ascii="Calibri" w:eastAsia="Calibri" w:hAnsi="Calibri" w:cs="Calibri"/>
          <w:kern w:val="0"/>
          <w:sz w:val="22"/>
          <w:szCs w:val="22"/>
          <w:lang w:eastAsia="en-US"/>
        </w:rPr>
        <w:t>€. Par ailleurs, le certificat de chômage C4 renseigne un salaire brut moyen théorique de 6.886,02</w:t>
      </w:r>
      <w:r w:rsidR="00C3683A">
        <w:rPr>
          <w:rFonts w:ascii="Calibri" w:eastAsia="Calibri" w:hAnsi="Calibri" w:cs="Calibri"/>
          <w:kern w:val="0"/>
          <w:sz w:val="22"/>
          <w:szCs w:val="22"/>
          <w:lang w:eastAsia="en-US"/>
        </w:rPr>
        <w:t> </w:t>
      </w:r>
      <w:r w:rsidRPr="00670028">
        <w:rPr>
          <w:rFonts w:ascii="Calibri" w:eastAsia="Calibri" w:hAnsi="Calibri" w:cs="Calibri"/>
          <w:kern w:val="0"/>
          <w:sz w:val="22"/>
          <w:szCs w:val="22"/>
          <w:lang w:eastAsia="en-US"/>
        </w:rPr>
        <w:t>€</w:t>
      </w:r>
      <w:r w:rsidRPr="00670028">
        <w:rPr>
          <w:rFonts w:ascii="Calibri" w:eastAsia="Calibri" w:hAnsi="Calibri" w:cs="Calibri"/>
          <w:kern w:val="0"/>
          <w:sz w:val="22"/>
          <w:szCs w:val="22"/>
          <w:vertAlign w:val="superscript"/>
          <w:lang w:eastAsia="en-US"/>
        </w:rPr>
        <w:footnoteReference w:id="10"/>
      </w:r>
      <w:r w:rsidRPr="00670028">
        <w:rPr>
          <w:rFonts w:ascii="Calibri" w:eastAsia="Calibri" w:hAnsi="Calibri" w:cs="Calibri"/>
          <w:kern w:val="0"/>
          <w:sz w:val="22"/>
          <w:szCs w:val="22"/>
          <w:lang w:eastAsia="en-US"/>
        </w:rPr>
        <w:t xml:space="preserve">. </w:t>
      </w:r>
    </w:p>
    <w:p w14:paraId="1B6C794D" w14:textId="6604CE35" w:rsidR="00670028" w:rsidRPr="00670028" w:rsidRDefault="00536C1E"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En tout état de cause, c</w:t>
      </w:r>
      <w:r w:rsidR="00670028" w:rsidRPr="00670028">
        <w:rPr>
          <w:rFonts w:ascii="Calibri" w:eastAsia="Calibri" w:hAnsi="Calibri" w:cs="Calibri"/>
          <w:kern w:val="0"/>
          <w:sz w:val="22"/>
          <w:szCs w:val="22"/>
          <w:lang w:eastAsia="en-US"/>
        </w:rPr>
        <w:t>es montants sont supérieurs au seuil de rémunération</w:t>
      </w:r>
      <w:r>
        <w:rPr>
          <w:rFonts w:ascii="Calibri" w:eastAsia="Calibri" w:hAnsi="Calibri" w:cs="Calibri"/>
          <w:kern w:val="0"/>
          <w:sz w:val="22"/>
          <w:szCs w:val="22"/>
          <w:lang w:eastAsia="en-US"/>
        </w:rPr>
        <w:t xml:space="preserve"> visé à</w:t>
      </w:r>
      <w:r w:rsidR="00670028" w:rsidRPr="00670028">
        <w:rPr>
          <w:rFonts w:ascii="Calibri" w:eastAsia="Calibri" w:hAnsi="Calibri" w:cs="Calibri"/>
          <w:kern w:val="0"/>
          <w:sz w:val="22"/>
          <w:szCs w:val="22"/>
          <w:lang w:eastAsia="en-US"/>
        </w:rPr>
        <w:t xml:space="preserve"> l’article 104 précité, indexé à la somme de 36</w:t>
      </w:r>
      <w:r w:rsidR="00177C81">
        <w:rPr>
          <w:rFonts w:ascii="Calibri" w:eastAsia="Calibri" w:hAnsi="Calibri" w:cs="Calibri"/>
          <w:kern w:val="0"/>
          <w:sz w:val="22"/>
          <w:szCs w:val="22"/>
          <w:lang w:eastAsia="en-US"/>
        </w:rPr>
        <w:t>.</w:t>
      </w:r>
      <w:r w:rsidR="00670028" w:rsidRPr="00670028">
        <w:rPr>
          <w:rFonts w:ascii="Calibri" w:eastAsia="Calibri" w:hAnsi="Calibri" w:cs="Calibri"/>
          <w:kern w:val="0"/>
          <w:sz w:val="22"/>
          <w:szCs w:val="22"/>
          <w:lang w:eastAsia="en-US"/>
        </w:rPr>
        <w:t>201</w:t>
      </w:r>
      <w:r w:rsidR="00177C81">
        <w:rPr>
          <w:rFonts w:ascii="Calibri" w:eastAsia="Calibri" w:hAnsi="Calibri" w:cs="Calibri"/>
          <w:kern w:val="0"/>
          <w:sz w:val="22"/>
          <w:szCs w:val="22"/>
          <w:lang w:eastAsia="en-US"/>
        </w:rPr>
        <w:t>,00 €</w:t>
      </w:r>
      <w:r w:rsidR="00670028" w:rsidRPr="00670028">
        <w:rPr>
          <w:rFonts w:ascii="Calibri" w:eastAsia="Calibri" w:hAnsi="Calibri" w:cs="Calibri"/>
          <w:kern w:val="0"/>
          <w:sz w:val="22"/>
          <w:szCs w:val="22"/>
          <w:lang w:eastAsia="en-US"/>
        </w:rPr>
        <w:t xml:space="preserve"> à partir du 1</w:t>
      </w:r>
      <w:r w:rsidR="00670028" w:rsidRPr="00670028">
        <w:rPr>
          <w:rFonts w:ascii="Calibri" w:eastAsia="Calibri" w:hAnsi="Calibri" w:cs="Calibri"/>
          <w:kern w:val="0"/>
          <w:sz w:val="22"/>
          <w:szCs w:val="22"/>
          <w:vertAlign w:val="superscript"/>
          <w:lang w:eastAsia="en-US"/>
        </w:rPr>
        <w:t>er</w:t>
      </w:r>
      <w:r w:rsidR="00670028" w:rsidRPr="00670028">
        <w:rPr>
          <w:rFonts w:ascii="Calibri" w:eastAsia="Calibri" w:hAnsi="Calibri" w:cs="Calibri"/>
          <w:kern w:val="0"/>
          <w:sz w:val="22"/>
          <w:szCs w:val="22"/>
          <w:lang w:eastAsia="en-US"/>
        </w:rPr>
        <w:t xml:space="preserve"> janvier 2021</w:t>
      </w:r>
      <w:r w:rsidR="00670028" w:rsidRPr="00670028">
        <w:rPr>
          <w:rFonts w:ascii="Calibri" w:eastAsia="Calibri" w:hAnsi="Calibri" w:cs="Calibri"/>
          <w:kern w:val="0"/>
          <w:sz w:val="22"/>
          <w:szCs w:val="22"/>
          <w:vertAlign w:val="superscript"/>
          <w:lang w:eastAsia="en-US"/>
        </w:rPr>
        <w:footnoteReference w:id="11"/>
      </w:r>
      <w:r w:rsidR="00670028" w:rsidRPr="00670028">
        <w:rPr>
          <w:rFonts w:ascii="Calibri" w:eastAsia="Calibri" w:hAnsi="Calibri" w:cs="Calibri"/>
          <w:kern w:val="0"/>
          <w:sz w:val="22"/>
          <w:szCs w:val="22"/>
          <w:lang w:eastAsia="en-US"/>
        </w:rPr>
        <w:t>.</w:t>
      </w:r>
    </w:p>
    <w:p w14:paraId="2B763D3D"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 xml:space="preserve">La clause de non-concurrence est valable, elle ne peut être réputée inexistante. </w:t>
      </w:r>
    </w:p>
    <w:p w14:paraId="721824D3"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3.</w:t>
      </w:r>
    </w:p>
    <w:p w14:paraId="2349A06D" w14:textId="54FF584F"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 xml:space="preserve">Monsieur </w:t>
      </w:r>
      <w:r w:rsidR="00AA321F">
        <w:rPr>
          <w:rFonts w:ascii="Calibri" w:eastAsia="Calibri" w:hAnsi="Calibri" w:cs="Calibri"/>
          <w:kern w:val="0"/>
          <w:sz w:val="22"/>
          <w:szCs w:val="22"/>
          <w:lang w:eastAsia="en-US"/>
        </w:rPr>
        <w:t>K</w:t>
      </w:r>
      <w:r w:rsidRPr="00670028">
        <w:rPr>
          <w:rFonts w:ascii="Calibri" w:eastAsia="Calibri" w:hAnsi="Calibri" w:cs="Calibri"/>
          <w:kern w:val="0"/>
          <w:sz w:val="22"/>
          <w:szCs w:val="22"/>
          <w:lang w:eastAsia="en-US"/>
        </w:rPr>
        <w:t xml:space="preserve"> ne conteste pas formellement avoir violé la clause de non-concurrence qui le liait à son ancien employeur. Ainsi, en page 10 et 11 de ses conclusions de synthèse, il conteste la validité de cette clause et soutient que la société PROMAS ne démontre pas l’étendue du dommage dont elle se prévaut.</w:t>
      </w:r>
    </w:p>
    <w:p w14:paraId="5A9C2D1E" w14:textId="091A405D"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 xml:space="preserve">Compte tenu de son engagement en date du 05/04/2021, pour des fonctions similaires (représentant de commerce, auprès d’un employeur concurrent exerçant dans le même secteur d’activité (Wandre/Sprimont= LIEGE), </w:t>
      </w:r>
      <w:r w:rsidR="00536C1E">
        <w:rPr>
          <w:rFonts w:ascii="Calibri" w:eastAsia="Calibri" w:hAnsi="Calibri" w:cs="Calibri"/>
          <w:kern w:val="0"/>
          <w:sz w:val="22"/>
          <w:szCs w:val="22"/>
          <w:lang w:eastAsia="en-US"/>
        </w:rPr>
        <w:t>il est incontestable</w:t>
      </w:r>
      <w:r w:rsidRPr="00670028">
        <w:rPr>
          <w:rFonts w:ascii="Calibri" w:eastAsia="Calibri" w:hAnsi="Calibri" w:cs="Calibri"/>
          <w:kern w:val="0"/>
          <w:sz w:val="22"/>
          <w:szCs w:val="22"/>
          <w:lang w:eastAsia="en-US"/>
        </w:rPr>
        <w:t xml:space="preserve"> que </w:t>
      </w:r>
      <w:r w:rsidR="00177C81">
        <w:rPr>
          <w:rFonts w:ascii="Calibri" w:eastAsia="Calibri" w:hAnsi="Calibri" w:cs="Calibri"/>
          <w:kern w:val="0"/>
          <w:sz w:val="22"/>
          <w:szCs w:val="22"/>
          <w:lang w:eastAsia="en-US"/>
        </w:rPr>
        <w:t>M</w:t>
      </w:r>
      <w:r w:rsidRPr="00670028">
        <w:rPr>
          <w:rFonts w:ascii="Calibri" w:eastAsia="Calibri" w:hAnsi="Calibri" w:cs="Calibri"/>
          <w:kern w:val="0"/>
          <w:sz w:val="22"/>
          <w:szCs w:val="22"/>
          <w:lang w:eastAsia="en-US"/>
        </w:rPr>
        <w:t xml:space="preserve">onsieur </w:t>
      </w:r>
      <w:r w:rsidR="00AA321F">
        <w:rPr>
          <w:rFonts w:ascii="Calibri" w:eastAsia="Calibri" w:hAnsi="Calibri" w:cs="Calibri"/>
          <w:kern w:val="0"/>
          <w:sz w:val="22"/>
          <w:szCs w:val="22"/>
          <w:lang w:eastAsia="en-US"/>
        </w:rPr>
        <w:t>K</w:t>
      </w:r>
      <w:r w:rsidRPr="00670028">
        <w:rPr>
          <w:rFonts w:ascii="Calibri" w:eastAsia="Calibri" w:hAnsi="Calibri" w:cs="Calibri"/>
          <w:kern w:val="0"/>
          <w:sz w:val="22"/>
          <w:szCs w:val="22"/>
          <w:lang w:eastAsia="en-US"/>
        </w:rPr>
        <w:t xml:space="preserve"> a violé la clause de non</w:t>
      </w:r>
      <w:r w:rsidR="00177C81">
        <w:rPr>
          <w:rFonts w:ascii="Calibri" w:eastAsia="Calibri" w:hAnsi="Calibri" w:cs="Calibri"/>
          <w:kern w:val="0"/>
          <w:sz w:val="22"/>
          <w:szCs w:val="22"/>
          <w:lang w:eastAsia="en-US"/>
        </w:rPr>
        <w:t>-</w:t>
      </w:r>
      <w:r w:rsidRPr="00670028">
        <w:rPr>
          <w:rFonts w:ascii="Calibri" w:eastAsia="Calibri" w:hAnsi="Calibri" w:cs="Calibri"/>
          <w:kern w:val="0"/>
          <w:sz w:val="22"/>
          <w:szCs w:val="22"/>
          <w:lang w:eastAsia="en-US"/>
        </w:rPr>
        <w:t>concurrence qui le liait à la société PROMAS.</w:t>
      </w:r>
    </w:p>
    <w:p w14:paraId="13FF9381" w14:textId="77777777" w:rsidR="00177C81" w:rsidRPr="00670028" w:rsidRDefault="00177C81" w:rsidP="00177C81">
      <w:pPr>
        <w:widowControl/>
        <w:suppressAutoHyphens w:val="0"/>
        <w:autoSpaceDN/>
        <w:spacing w:line="257" w:lineRule="auto"/>
        <w:jc w:val="both"/>
        <w:textAlignment w:val="auto"/>
        <w:rPr>
          <w:rFonts w:ascii="Calibri" w:eastAsia="Calibri" w:hAnsi="Calibri" w:cs="Calibri"/>
          <w:kern w:val="0"/>
          <w:sz w:val="22"/>
          <w:szCs w:val="22"/>
          <w:lang w:eastAsia="en-US"/>
        </w:rPr>
      </w:pPr>
    </w:p>
    <w:p w14:paraId="0BCB29E4" w14:textId="2295976C" w:rsidR="00670028" w:rsidRPr="00BD7FE3" w:rsidRDefault="00670028" w:rsidP="00BD7FE3">
      <w:pPr>
        <w:pStyle w:val="Paragraphedeliste"/>
        <w:widowControl/>
        <w:numPr>
          <w:ilvl w:val="1"/>
          <w:numId w:val="8"/>
        </w:numPr>
        <w:suppressAutoHyphens w:val="0"/>
        <w:autoSpaceDN/>
        <w:spacing w:line="257" w:lineRule="auto"/>
        <w:jc w:val="both"/>
        <w:textAlignment w:val="auto"/>
        <w:rPr>
          <w:rFonts w:ascii="Calibri" w:eastAsia="Calibri" w:hAnsi="Calibri" w:cs="Calibri"/>
          <w:b/>
          <w:kern w:val="0"/>
          <w:sz w:val="22"/>
          <w:szCs w:val="22"/>
          <w:u w:val="single"/>
          <w:lang w:eastAsia="en-US"/>
        </w:rPr>
      </w:pPr>
      <w:r w:rsidRPr="00BD7FE3">
        <w:rPr>
          <w:rFonts w:ascii="Calibri" w:eastAsia="Calibri" w:hAnsi="Calibri" w:cs="Calibri"/>
          <w:b/>
          <w:kern w:val="0"/>
          <w:sz w:val="22"/>
          <w:szCs w:val="22"/>
          <w:u w:val="single"/>
          <w:lang w:eastAsia="en-US"/>
        </w:rPr>
        <w:t>La tierce complicité invoquée dans le chef de la société</w:t>
      </w:r>
      <w:r w:rsidRPr="00BD7FE3">
        <w:rPr>
          <w:rFonts w:ascii="Calibri" w:eastAsia="Calibri" w:hAnsi="Calibri" w:cs="Calibri"/>
          <w:b/>
          <w:kern w:val="0"/>
          <w:sz w:val="22"/>
          <w:szCs w:val="22"/>
          <w:u w:val="single"/>
          <w:lang w:val="fr-FR" w:eastAsia="en-US"/>
        </w:rPr>
        <w:t xml:space="preserve"> MLD CONCEPT</w:t>
      </w:r>
    </w:p>
    <w:p w14:paraId="0C12CBED" w14:textId="77777777" w:rsidR="00670028" w:rsidRPr="00670028" w:rsidRDefault="00670028" w:rsidP="00177C81">
      <w:pPr>
        <w:widowControl/>
        <w:suppressAutoHyphens w:val="0"/>
        <w:autoSpaceDN/>
        <w:spacing w:line="257" w:lineRule="auto"/>
        <w:jc w:val="both"/>
        <w:textAlignment w:val="auto"/>
        <w:rPr>
          <w:rFonts w:ascii="Calibri" w:eastAsia="Calibri" w:hAnsi="Calibri" w:cs="Calibri"/>
          <w:bCs/>
          <w:kern w:val="0"/>
          <w:sz w:val="22"/>
          <w:szCs w:val="22"/>
          <w:lang w:eastAsia="en-US"/>
        </w:rPr>
      </w:pPr>
    </w:p>
    <w:p w14:paraId="4825EA23" w14:textId="7ED3FBC4" w:rsidR="00670028" w:rsidRDefault="00670028" w:rsidP="00177C81">
      <w:pPr>
        <w:widowControl/>
        <w:suppressAutoHyphens w:val="0"/>
        <w:autoSpaceDN/>
        <w:spacing w:line="257"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1.</w:t>
      </w:r>
    </w:p>
    <w:p w14:paraId="256E8F4F" w14:textId="77777777" w:rsidR="00BD7FE3" w:rsidRPr="00670028" w:rsidRDefault="00BD7FE3" w:rsidP="00177C81">
      <w:pPr>
        <w:widowControl/>
        <w:suppressAutoHyphens w:val="0"/>
        <w:autoSpaceDN/>
        <w:spacing w:line="257" w:lineRule="auto"/>
        <w:jc w:val="both"/>
        <w:textAlignment w:val="auto"/>
        <w:rPr>
          <w:rFonts w:ascii="Calibri" w:eastAsia="Calibri" w:hAnsi="Calibri" w:cs="Calibri"/>
          <w:bCs/>
          <w:kern w:val="0"/>
          <w:sz w:val="22"/>
          <w:szCs w:val="22"/>
          <w:lang w:val="fr-FR" w:eastAsia="en-US"/>
        </w:rPr>
      </w:pPr>
    </w:p>
    <w:p w14:paraId="71940C8A" w14:textId="4D67A72C"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La tierce complicité est la faute aquilienne que commet le tiers complice qui apporte son concours actif et conscient à la violation d'une obligation contractuelle souscrite par le débiteur de cette obligation, alors que le tiers complice avait connaissance</w:t>
      </w:r>
      <w:r w:rsidR="00BD7FE3">
        <w:rPr>
          <w:rFonts w:ascii="Calibri" w:eastAsia="Calibri" w:hAnsi="Calibri" w:cs="Calibri"/>
          <w:bCs/>
          <w:kern w:val="0"/>
          <w:sz w:val="22"/>
          <w:szCs w:val="22"/>
          <w:lang w:val="fr-FR" w:eastAsia="en-US"/>
        </w:rPr>
        <w:t>,</w:t>
      </w:r>
      <w:r w:rsidRPr="00670028">
        <w:rPr>
          <w:rFonts w:ascii="Calibri" w:eastAsia="Calibri" w:hAnsi="Calibri" w:cs="Calibri"/>
          <w:bCs/>
          <w:kern w:val="0"/>
          <w:sz w:val="22"/>
          <w:szCs w:val="22"/>
          <w:lang w:val="fr-FR" w:eastAsia="en-US"/>
        </w:rPr>
        <w:t xml:space="preserve"> ou devait avoir connaissance </w:t>
      </w:r>
      <w:r w:rsidR="00BD7FE3">
        <w:rPr>
          <w:rFonts w:ascii="Calibri" w:eastAsia="Calibri" w:hAnsi="Calibri" w:cs="Calibri"/>
          <w:bCs/>
          <w:kern w:val="0"/>
          <w:sz w:val="22"/>
          <w:szCs w:val="22"/>
          <w:lang w:val="fr-FR" w:eastAsia="en-US"/>
        </w:rPr>
        <w:t>,</w:t>
      </w:r>
      <w:r w:rsidRPr="00670028">
        <w:rPr>
          <w:rFonts w:ascii="Calibri" w:eastAsia="Calibri" w:hAnsi="Calibri" w:cs="Calibri"/>
          <w:bCs/>
          <w:kern w:val="0"/>
          <w:sz w:val="22"/>
          <w:szCs w:val="22"/>
          <w:lang w:val="fr-FR" w:eastAsia="en-US"/>
        </w:rPr>
        <w:t>de la situation contractuelle</w:t>
      </w:r>
      <w:r w:rsidRPr="00670028">
        <w:rPr>
          <w:rFonts w:ascii="Calibri" w:eastAsia="Calibri" w:hAnsi="Calibri" w:cs="Calibri"/>
          <w:bCs/>
          <w:kern w:val="0"/>
          <w:sz w:val="22"/>
          <w:szCs w:val="22"/>
          <w:vertAlign w:val="superscript"/>
          <w:lang w:val="fr-FR" w:eastAsia="en-US"/>
        </w:rPr>
        <w:footnoteReference w:id="12"/>
      </w:r>
      <w:r w:rsidRPr="00670028">
        <w:rPr>
          <w:rFonts w:ascii="Calibri" w:eastAsia="Calibri" w:hAnsi="Calibri" w:cs="Calibri"/>
          <w:bCs/>
          <w:kern w:val="0"/>
          <w:sz w:val="22"/>
          <w:szCs w:val="22"/>
          <w:lang w:val="fr-FR" w:eastAsia="en-US"/>
        </w:rPr>
        <w:t>.</w:t>
      </w:r>
    </w:p>
    <w:p w14:paraId="57B20371" w14:textId="7F989686"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val="fr-FR" w:eastAsia="en-US"/>
        </w:rPr>
        <w:t xml:space="preserve">Comme toute faute aquilienne fondée sur les articles 1382 et 1383 du Code judiciaire, il appartient au demandeur d’établit </w:t>
      </w:r>
      <w:r w:rsidR="00BD7FE3">
        <w:rPr>
          <w:rFonts w:ascii="Calibri" w:eastAsia="Calibri" w:hAnsi="Calibri" w:cs="Calibri"/>
          <w:bCs/>
          <w:kern w:val="0"/>
          <w:sz w:val="22"/>
          <w:szCs w:val="22"/>
          <w:lang w:val="fr-FR" w:eastAsia="en-US"/>
        </w:rPr>
        <w:t>une</w:t>
      </w:r>
      <w:r w:rsidRPr="00670028">
        <w:rPr>
          <w:rFonts w:ascii="Calibri" w:eastAsia="Calibri" w:hAnsi="Calibri" w:cs="Calibri"/>
          <w:bCs/>
          <w:kern w:val="0"/>
          <w:sz w:val="22"/>
          <w:szCs w:val="22"/>
          <w:lang w:val="fr-FR" w:eastAsia="en-US"/>
        </w:rPr>
        <w:t xml:space="preserve"> faute, </w:t>
      </w:r>
      <w:r w:rsidR="00BD7FE3">
        <w:rPr>
          <w:rFonts w:ascii="Calibri" w:eastAsia="Calibri" w:hAnsi="Calibri" w:cs="Calibri"/>
          <w:bCs/>
          <w:kern w:val="0"/>
          <w:sz w:val="22"/>
          <w:szCs w:val="22"/>
          <w:lang w:val="fr-FR" w:eastAsia="en-US"/>
        </w:rPr>
        <w:t>un</w:t>
      </w:r>
      <w:r w:rsidRPr="00670028">
        <w:rPr>
          <w:rFonts w:ascii="Calibri" w:eastAsia="Calibri" w:hAnsi="Calibri" w:cs="Calibri"/>
          <w:bCs/>
          <w:kern w:val="0"/>
          <w:sz w:val="22"/>
          <w:szCs w:val="22"/>
          <w:lang w:val="fr-FR" w:eastAsia="en-US"/>
        </w:rPr>
        <w:t xml:space="preserve"> dommage et le lien causal</w:t>
      </w:r>
      <w:r w:rsidR="00BD7FE3">
        <w:rPr>
          <w:rFonts w:ascii="Calibri" w:eastAsia="Calibri" w:hAnsi="Calibri" w:cs="Calibri"/>
          <w:bCs/>
          <w:kern w:val="0"/>
          <w:sz w:val="22"/>
          <w:szCs w:val="22"/>
          <w:lang w:val="fr-FR" w:eastAsia="en-US"/>
        </w:rPr>
        <w:t xml:space="preserve">.  </w:t>
      </w:r>
    </w:p>
    <w:p w14:paraId="633AE2E3"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Le principe de la relativité des conventions est insuffisant pour exonérer le tiers complice de sa responsabilité ; l’existence même du contrat est un fait dont les tiers doivent tenir compte. </w:t>
      </w:r>
    </w:p>
    <w:p w14:paraId="651EFA53" w14:textId="5806BD7B" w:rsidR="00670028" w:rsidRPr="00670028" w:rsidRDefault="00BD7FE3" w:rsidP="00670028">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Pr>
          <w:rFonts w:ascii="Calibri" w:eastAsia="Calibri" w:hAnsi="Calibri" w:cs="Calibri"/>
          <w:kern w:val="0"/>
          <w:sz w:val="22"/>
          <w:szCs w:val="22"/>
          <w:shd w:val="clear" w:color="auto" w:fill="FFFFFF"/>
          <w:lang w:eastAsia="en-US"/>
        </w:rPr>
        <w:t>Ainsi, l</w:t>
      </w:r>
      <w:r w:rsidR="00670028" w:rsidRPr="00670028">
        <w:rPr>
          <w:rFonts w:ascii="Calibri" w:eastAsia="Calibri" w:hAnsi="Calibri" w:cs="Calibri"/>
          <w:kern w:val="0"/>
          <w:sz w:val="22"/>
          <w:szCs w:val="22"/>
          <w:shd w:val="clear" w:color="auto" w:fill="FFFFFF"/>
          <w:lang w:eastAsia="en-US"/>
        </w:rPr>
        <w:t>a tierce complicité exige la réunion de plusieurs conditions à savoir</w:t>
      </w:r>
      <w:r w:rsidR="00670028" w:rsidRPr="00670028">
        <w:rPr>
          <w:rFonts w:ascii="Calibri" w:eastAsia="Calibri" w:hAnsi="Calibri" w:cs="Calibri"/>
          <w:kern w:val="0"/>
          <w:sz w:val="22"/>
          <w:szCs w:val="22"/>
          <w:shd w:val="clear" w:color="auto" w:fill="FFFFFF"/>
          <w:vertAlign w:val="superscript"/>
          <w:lang w:eastAsia="en-US"/>
        </w:rPr>
        <w:footnoteReference w:id="13"/>
      </w:r>
      <w:r w:rsidR="00670028" w:rsidRPr="00670028">
        <w:rPr>
          <w:rFonts w:ascii="Calibri" w:eastAsia="Calibri" w:hAnsi="Calibri" w:cs="Calibri"/>
          <w:kern w:val="0"/>
          <w:sz w:val="22"/>
          <w:szCs w:val="22"/>
          <w:shd w:val="clear" w:color="auto" w:fill="FFFFFF"/>
          <w:lang w:eastAsia="en-US"/>
        </w:rPr>
        <w:t> :</w:t>
      </w:r>
    </w:p>
    <w:p w14:paraId="70763683" w14:textId="77777777" w:rsidR="00670028" w:rsidRPr="00670028" w:rsidRDefault="00670028" w:rsidP="00670028">
      <w:pPr>
        <w:widowControl/>
        <w:numPr>
          <w:ilvl w:val="0"/>
          <w:numId w:val="12"/>
        </w:numPr>
        <w:suppressAutoHyphens w:val="0"/>
        <w:autoSpaceDN/>
        <w:spacing w:after="160" w:line="256" w:lineRule="auto"/>
        <w:contextualSpacing/>
        <w:jc w:val="both"/>
        <w:textAlignment w:val="auto"/>
        <w:rPr>
          <w:rFonts w:ascii="Calibri" w:eastAsia="Calibri" w:hAnsi="Calibri" w:cs="Calibri"/>
          <w:bCs/>
          <w:kern w:val="0"/>
          <w:sz w:val="22"/>
          <w:szCs w:val="22"/>
          <w:lang w:val="fr-FR" w:eastAsia="en-US"/>
        </w:rPr>
      </w:pPr>
      <w:r w:rsidRPr="00670028">
        <w:rPr>
          <w:rFonts w:ascii="Calibri" w:eastAsia="Calibri" w:hAnsi="Calibri" w:cs="Calibri"/>
          <w:kern w:val="0"/>
          <w:sz w:val="22"/>
          <w:szCs w:val="22"/>
          <w:shd w:val="clear" w:color="auto" w:fill="FFFFFF"/>
          <w:lang w:eastAsia="en-US"/>
        </w:rPr>
        <w:t>L’existence  d’une  obligation  contractuelle  valable  et  préexistante  souscrite par le débiteur;</w:t>
      </w:r>
    </w:p>
    <w:p w14:paraId="0216432B" w14:textId="77777777" w:rsidR="00670028" w:rsidRPr="00670028" w:rsidRDefault="00670028" w:rsidP="00670028">
      <w:pPr>
        <w:widowControl/>
        <w:numPr>
          <w:ilvl w:val="0"/>
          <w:numId w:val="12"/>
        </w:numPr>
        <w:suppressAutoHyphens w:val="0"/>
        <w:autoSpaceDN/>
        <w:spacing w:after="160" w:line="256" w:lineRule="auto"/>
        <w:contextualSpacing/>
        <w:jc w:val="both"/>
        <w:textAlignment w:val="auto"/>
        <w:rPr>
          <w:rFonts w:ascii="Calibri" w:eastAsia="Calibri" w:hAnsi="Calibri" w:cs="Calibri"/>
          <w:bCs/>
          <w:kern w:val="0"/>
          <w:sz w:val="22"/>
          <w:szCs w:val="22"/>
          <w:lang w:val="fr-FR" w:eastAsia="en-US"/>
        </w:rPr>
      </w:pPr>
      <w:r w:rsidRPr="00670028">
        <w:rPr>
          <w:rFonts w:ascii="Calibri" w:eastAsia="Calibri" w:hAnsi="Calibri" w:cs="Calibri"/>
          <w:kern w:val="0"/>
          <w:sz w:val="22"/>
          <w:szCs w:val="22"/>
          <w:shd w:val="clear" w:color="auto" w:fill="FFFFFF"/>
          <w:lang w:eastAsia="en-US"/>
        </w:rPr>
        <w:t xml:space="preserve">La violation de cette obligation par le débiteur; </w:t>
      </w:r>
    </w:p>
    <w:p w14:paraId="2B1B7A9A" w14:textId="77777777" w:rsidR="00670028" w:rsidRPr="00670028" w:rsidRDefault="00670028" w:rsidP="00670028">
      <w:pPr>
        <w:widowControl/>
        <w:numPr>
          <w:ilvl w:val="0"/>
          <w:numId w:val="12"/>
        </w:numPr>
        <w:suppressAutoHyphens w:val="0"/>
        <w:autoSpaceDN/>
        <w:spacing w:after="160" w:line="256" w:lineRule="auto"/>
        <w:contextualSpacing/>
        <w:jc w:val="both"/>
        <w:textAlignment w:val="auto"/>
        <w:rPr>
          <w:rFonts w:ascii="Calibri" w:eastAsia="Calibri" w:hAnsi="Calibri" w:cs="Calibri"/>
          <w:bCs/>
          <w:kern w:val="0"/>
          <w:sz w:val="22"/>
          <w:szCs w:val="22"/>
          <w:lang w:val="fr-FR" w:eastAsia="en-US"/>
        </w:rPr>
      </w:pPr>
      <w:r w:rsidRPr="00670028">
        <w:rPr>
          <w:rFonts w:ascii="Calibri" w:eastAsia="Calibri" w:hAnsi="Calibri" w:cs="Calibri"/>
          <w:kern w:val="0"/>
          <w:sz w:val="22"/>
          <w:szCs w:val="22"/>
          <w:shd w:val="clear" w:color="auto" w:fill="FFFFFF"/>
          <w:lang w:eastAsia="en-US"/>
        </w:rPr>
        <w:t xml:space="preserve">Le  tiers  complice  avait  connaissance  ou  devait  avoir  connaissance  de l’obligation violée, </w:t>
      </w:r>
      <w:r w:rsidRPr="00670028">
        <w:rPr>
          <w:rFonts w:ascii="Calibri" w:eastAsia="Calibri" w:hAnsi="Calibri" w:cs="Calibri"/>
          <w:kern w:val="0"/>
          <w:sz w:val="22"/>
          <w:szCs w:val="22"/>
          <w:lang w:eastAsia="en-US"/>
        </w:rPr>
        <w:t>sans qu'il soit exigé du tiers qu'il fasse des recherches poussées mais sans admettre qu'il se refuse à voir ce que chacun à sa place eût vu : il faut qu'il ait été au courant de l'inexécution au moment où il conclut la convention avec le débiteur et il importe peu que l'engagement antérieur, inconnu de lui au moment où il contractait, lui ait été révélé par la suite (application de l'adage «</w:t>
      </w:r>
      <w:r w:rsidRPr="00670028">
        <w:rPr>
          <w:rFonts w:ascii="Calibri" w:eastAsia="Calibri" w:hAnsi="Calibri" w:cs="Calibri"/>
          <w:i/>
          <w:iCs/>
          <w:kern w:val="0"/>
          <w:sz w:val="22"/>
          <w:szCs w:val="22"/>
          <w:lang w:eastAsia="en-US"/>
        </w:rPr>
        <w:t>Mala fides superveniens non nocet</w:t>
      </w:r>
      <w:r w:rsidRPr="00670028">
        <w:rPr>
          <w:rFonts w:ascii="Calibri" w:eastAsia="Calibri" w:hAnsi="Calibri" w:cs="Calibri"/>
          <w:kern w:val="0"/>
          <w:sz w:val="22"/>
          <w:szCs w:val="22"/>
          <w:vertAlign w:val="superscript"/>
          <w:lang w:eastAsia="en-US"/>
        </w:rPr>
        <w:footnoteReference w:id="14"/>
      </w:r>
      <w:r w:rsidRPr="00670028">
        <w:rPr>
          <w:rFonts w:ascii="Calibri" w:eastAsia="Calibri" w:hAnsi="Calibri" w:cs="Calibri"/>
          <w:kern w:val="0"/>
          <w:sz w:val="22"/>
          <w:szCs w:val="22"/>
          <w:lang w:eastAsia="en-US"/>
        </w:rPr>
        <w:t xml:space="preserve">»). </w:t>
      </w:r>
    </w:p>
    <w:p w14:paraId="583B1F57" w14:textId="77777777" w:rsidR="00670028" w:rsidRPr="00670028" w:rsidRDefault="00670028" w:rsidP="00670028">
      <w:pPr>
        <w:widowControl/>
        <w:suppressAutoHyphens w:val="0"/>
        <w:autoSpaceDN/>
        <w:spacing w:after="160" w:line="256" w:lineRule="auto"/>
        <w:ind w:left="1352"/>
        <w:contextualSpacing/>
        <w:jc w:val="both"/>
        <w:textAlignment w:val="auto"/>
        <w:rPr>
          <w:rFonts w:ascii="Calibri" w:eastAsia="Calibri" w:hAnsi="Calibri" w:cs="Calibri"/>
          <w:bCs/>
          <w:kern w:val="0"/>
          <w:sz w:val="22"/>
          <w:szCs w:val="22"/>
          <w:lang w:val="fr-FR" w:eastAsia="en-US"/>
        </w:rPr>
      </w:pPr>
      <w:r w:rsidRPr="00670028">
        <w:rPr>
          <w:rFonts w:ascii="Calibri" w:eastAsia="Calibri" w:hAnsi="Calibri" w:cs="Calibri"/>
          <w:kern w:val="0"/>
          <w:sz w:val="22"/>
          <w:szCs w:val="22"/>
          <w:lang w:eastAsia="en-US"/>
        </w:rPr>
        <w:t>Si le tiers n'a pas à rechercher si l'autre partie ne viole pas des obligations contractuelles antérieures et s'il dispose donc d'un droit à l'inertie, il doit cependant se renseigner s'il dispose d'informations indiquant que son contractant violerait probablement un engagement antérieur</w:t>
      </w:r>
      <w:r w:rsidRPr="00670028">
        <w:rPr>
          <w:rFonts w:ascii="Calibri" w:eastAsia="Calibri" w:hAnsi="Calibri" w:cs="Calibri"/>
          <w:kern w:val="0"/>
          <w:sz w:val="22"/>
          <w:szCs w:val="22"/>
          <w:vertAlign w:val="superscript"/>
          <w:lang w:eastAsia="en-US"/>
        </w:rPr>
        <w:footnoteReference w:id="15"/>
      </w:r>
      <w:r w:rsidRPr="00670028">
        <w:rPr>
          <w:rFonts w:ascii="Calibri" w:eastAsia="Calibri" w:hAnsi="Calibri" w:cs="Calibri"/>
          <w:kern w:val="0"/>
          <w:sz w:val="22"/>
          <w:szCs w:val="22"/>
          <w:lang w:eastAsia="en-US"/>
        </w:rPr>
        <w:t>.</w:t>
      </w:r>
    </w:p>
    <w:p w14:paraId="6F2E42B1" w14:textId="77777777" w:rsidR="00670028" w:rsidRPr="00670028" w:rsidRDefault="00670028" w:rsidP="00670028">
      <w:pPr>
        <w:widowControl/>
        <w:numPr>
          <w:ilvl w:val="0"/>
          <w:numId w:val="12"/>
        </w:numPr>
        <w:suppressAutoHyphens w:val="0"/>
        <w:autoSpaceDN/>
        <w:spacing w:after="160" w:line="256" w:lineRule="auto"/>
        <w:contextualSpacing/>
        <w:jc w:val="both"/>
        <w:textAlignment w:val="auto"/>
        <w:rPr>
          <w:rFonts w:ascii="Calibri" w:eastAsia="Calibri" w:hAnsi="Calibri" w:cs="Calibri"/>
          <w:bCs/>
          <w:kern w:val="0"/>
          <w:sz w:val="22"/>
          <w:szCs w:val="22"/>
          <w:lang w:val="fr-FR" w:eastAsia="en-US"/>
        </w:rPr>
      </w:pPr>
      <w:r w:rsidRPr="00670028">
        <w:rPr>
          <w:rFonts w:ascii="Calibri" w:eastAsia="Calibri" w:hAnsi="Calibri" w:cs="Calibri"/>
          <w:kern w:val="0"/>
          <w:sz w:val="22"/>
          <w:szCs w:val="22"/>
          <w:shd w:val="clear" w:color="auto" w:fill="FFFFFF"/>
          <w:lang w:eastAsia="en-US"/>
        </w:rPr>
        <w:t xml:space="preserve">Le tiers-complice apporte son concours effectif et conscient à la violation de cette obligation ; si le tiers n’avait pas prêté son concours à la violation de l’obligation, celle-ci aurait pu être évitée. </w:t>
      </w:r>
    </w:p>
    <w:p w14:paraId="37D82CFD" w14:textId="77777777" w:rsidR="00BD7FE3" w:rsidRDefault="00BD7FE3"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p>
    <w:p w14:paraId="59D1DCBF" w14:textId="3E6B108C" w:rsidR="00525992" w:rsidRDefault="00525992" w:rsidP="00525992">
      <w:pPr>
        <w:jc w:val="both"/>
        <w:rPr>
          <w:rFonts w:asciiTheme="minorHAnsi" w:hAnsiTheme="minorHAnsi" w:cstheme="minorHAnsi"/>
          <w:sz w:val="22"/>
          <w:szCs w:val="22"/>
          <w:lang w:val="fr-FR"/>
        </w:rPr>
      </w:pPr>
      <w:r w:rsidRPr="00525992">
        <w:rPr>
          <w:rFonts w:asciiTheme="minorHAnsi" w:hAnsiTheme="minorHAnsi" w:cstheme="minorHAnsi"/>
          <w:sz w:val="22"/>
          <w:szCs w:val="22"/>
          <w:lang w:val="fr-FR"/>
        </w:rPr>
        <w:t xml:space="preserve">Le créancier de l’obligation contractuelle doit également rapporter la preuve des autres conditions de la responsabilité extracontractuelle, à savoir le dommage et le lien de causalité entre celui-ci et la faute du tiers complice. </w:t>
      </w:r>
    </w:p>
    <w:p w14:paraId="2C669244" w14:textId="77777777" w:rsidR="00525992" w:rsidRPr="00525992" w:rsidRDefault="00525992" w:rsidP="00525992">
      <w:pPr>
        <w:jc w:val="both"/>
        <w:rPr>
          <w:rFonts w:asciiTheme="minorHAnsi" w:hAnsiTheme="minorHAnsi" w:cstheme="minorHAnsi"/>
          <w:sz w:val="22"/>
          <w:szCs w:val="22"/>
          <w:lang w:val="fr-FR"/>
        </w:rPr>
      </w:pPr>
    </w:p>
    <w:p w14:paraId="62E74350" w14:textId="43167BBA" w:rsidR="00525992" w:rsidRDefault="00525992" w:rsidP="00525992">
      <w:pPr>
        <w:jc w:val="both"/>
        <w:rPr>
          <w:rFonts w:asciiTheme="minorHAnsi" w:hAnsiTheme="minorHAnsi" w:cstheme="minorHAnsi"/>
          <w:spacing w:val="9"/>
          <w:sz w:val="22"/>
          <w:szCs w:val="22"/>
          <w:lang w:val="fr-FR"/>
        </w:rPr>
      </w:pPr>
      <w:r w:rsidRPr="00525992">
        <w:rPr>
          <w:rFonts w:asciiTheme="minorHAnsi" w:hAnsiTheme="minorHAnsi" w:cstheme="minorHAnsi"/>
          <w:spacing w:val="9"/>
          <w:sz w:val="22"/>
          <w:szCs w:val="22"/>
          <w:lang w:val="fr-FR"/>
        </w:rPr>
        <w:t>En ce qui concerne la connaissance par le tiers des obligations contractuelles du débiteur, elle doit exister au moment où le second contrat, conclu au mépris des obligations contractuelles du débiteur, a vu le jour</w:t>
      </w:r>
      <w:r>
        <w:rPr>
          <w:rFonts w:asciiTheme="minorHAnsi" w:hAnsiTheme="minorHAnsi" w:cstheme="minorHAnsi"/>
          <w:spacing w:val="9"/>
          <w:sz w:val="22"/>
          <w:szCs w:val="22"/>
          <w:lang w:val="fr-FR"/>
        </w:rPr>
        <w:t> ; l</w:t>
      </w:r>
      <w:r w:rsidRPr="00525992">
        <w:rPr>
          <w:rFonts w:asciiTheme="minorHAnsi" w:hAnsiTheme="minorHAnsi" w:cstheme="minorHAnsi"/>
          <w:spacing w:val="9"/>
          <w:sz w:val="22"/>
          <w:szCs w:val="22"/>
          <w:lang w:val="fr-FR"/>
        </w:rPr>
        <w:t>a connaissance acquise postérieurement est inopérante</w:t>
      </w:r>
      <w:r>
        <w:rPr>
          <w:rStyle w:val="Appelnotedebasdep"/>
          <w:rFonts w:asciiTheme="minorHAnsi" w:hAnsiTheme="minorHAnsi" w:cstheme="minorHAnsi"/>
          <w:spacing w:val="9"/>
          <w:sz w:val="22"/>
          <w:szCs w:val="22"/>
          <w:lang w:val="fr-FR"/>
        </w:rPr>
        <w:footnoteReference w:id="16"/>
      </w:r>
      <w:r>
        <w:rPr>
          <w:rFonts w:asciiTheme="minorHAnsi" w:hAnsiTheme="minorHAnsi" w:cstheme="minorHAnsi"/>
          <w:spacing w:val="9"/>
          <w:sz w:val="22"/>
          <w:szCs w:val="22"/>
          <w:lang w:val="fr-FR"/>
        </w:rPr>
        <w:t>.</w:t>
      </w:r>
    </w:p>
    <w:p w14:paraId="630E7183" w14:textId="76061883" w:rsidR="00525992" w:rsidRPr="00525992" w:rsidRDefault="00525992" w:rsidP="00525992">
      <w:pPr>
        <w:jc w:val="both"/>
        <w:rPr>
          <w:rFonts w:asciiTheme="minorHAnsi" w:hAnsiTheme="minorHAnsi" w:cstheme="minorHAnsi"/>
          <w:spacing w:val="9"/>
          <w:sz w:val="22"/>
          <w:szCs w:val="22"/>
          <w:lang w:val="fr-FR"/>
        </w:rPr>
      </w:pPr>
      <w:r w:rsidRPr="00525992">
        <w:rPr>
          <w:rFonts w:asciiTheme="minorHAnsi" w:hAnsiTheme="minorHAnsi" w:cstheme="minorHAnsi"/>
          <w:spacing w:val="9"/>
          <w:sz w:val="22"/>
          <w:szCs w:val="22"/>
          <w:lang w:val="fr-FR"/>
        </w:rPr>
        <w:t xml:space="preserve"> </w:t>
      </w:r>
    </w:p>
    <w:p w14:paraId="0CF5205C" w14:textId="0E9D42AF" w:rsidR="00525992" w:rsidRPr="00525992" w:rsidRDefault="00525992" w:rsidP="00525992">
      <w:pPr>
        <w:spacing w:before="26" w:line="295" w:lineRule="exact"/>
        <w:ind w:right="144"/>
        <w:jc w:val="both"/>
        <w:rPr>
          <w:rFonts w:asciiTheme="minorHAnsi" w:hAnsiTheme="minorHAnsi" w:cstheme="minorHAnsi"/>
          <w:spacing w:val="9"/>
          <w:sz w:val="22"/>
          <w:szCs w:val="22"/>
          <w:lang w:val="fr-FR"/>
        </w:rPr>
      </w:pPr>
      <w:r w:rsidRPr="00525992">
        <w:rPr>
          <w:rFonts w:asciiTheme="minorHAnsi" w:hAnsiTheme="minorHAnsi" w:cstheme="minorHAnsi"/>
          <w:spacing w:val="7"/>
          <w:sz w:val="22"/>
          <w:szCs w:val="22"/>
          <w:lang w:val="fr-FR"/>
        </w:rPr>
        <w:t xml:space="preserve">À la connaissance effective du tiers, il convient, d’assimiler la connaissance que ce tiers aurait dû avoir en fonction des circonstances de l’espèce. Comme l’a rappelé la Cour d’appel de Liège dans un arrêt du 13 mai 1991, « </w:t>
      </w:r>
      <w:r w:rsidRPr="00525992">
        <w:rPr>
          <w:rFonts w:asciiTheme="minorHAnsi" w:eastAsia="Arial" w:hAnsiTheme="minorHAnsi" w:cstheme="minorHAnsi"/>
          <w:i/>
          <w:spacing w:val="7"/>
          <w:sz w:val="22"/>
          <w:szCs w:val="22"/>
          <w:lang w:val="fr-FR"/>
        </w:rPr>
        <w:t>Les tiers n’ont pas à rechercher si le contrat existe. Ils disposent d’un véritable droit à l’inertie.</w:t>
      </w:r>
      <w:r w:rsidRPr="00525992">
        <w:rPr>
          <w:rFonts w:asciiTheme="minorHAnsi" w:eastAsia="Arial" w:hAnsiTheme="minorHAnsi" w:cstheme="minorHAnsi"/>
          <w:i/>
          <w:spacing w:val="7"/>
          <w:sz w:val="22"/>
          <w:szCs w:val="22"/>
          <w:u w:val="single"/>
          <w:lang w:val="fr-FR"/>
        </w:rPr>
        <w:t xml:space="preserve"> Le tiers est en faute lorsque les circonstances sont telles que  sans examen particulier, il eût dû arriver à la conclusion [...] que l’acte juridique  qu’il se proposait d’accomplir, le serait en violation de l’obligation d’autrui</w:t>
      </w:r>
      <w:r w:rsidRPr="00525992">
        <w:rPr>
          <w:rFonts w:asciiTheme="minorHAnsi" w:hAnsiTheme="minorHAnsi" w:cstheme="minorHAnsi"/>
          <w:spacing w:val="7"/>
          <w:sz w:val="22"/>
          <w:szCs w:val="22"/>
          <w:lang w:val="fr-FR"/>
        </w:rPr>
        <w:t xml:space="preserve"> »</w:t>
      </w:r>
      <w:r w:rsidRPr="00525992">
        <w:rPr>
          <w:rStyle w:val="Appelnotedebasdep"/>
          <w:rFonts w:asciiTheme="minorHAnsi" w:hAnsiTheme="minorHAnsi" w:cstheme="minorHAnsi"/>
          <w:spacing w:val="7"/>
          <w:sz w:val="22"/>
          <w:szCs w:val="22"/>
          <w:lang w:val="fr-FR"/>
        </w:rPr>
        <w:footnoteReference w:id="17"/>
      </w:r>
      <w:r w:rsidRPr="00525992">
        <w:rPr>
          <w:rFonts w:asciiTheme="minorHAnsi" w:hAnsiTheme="minorHAnsi" w:cstheme="minorHAnsi"/>
          <w:spacing w:val="7"/>
          <w:sz w:val="22"/>
          <w:szCs w:val="22"/>
          <w:lang w:val="fr-FR"/>
        </w:rPr>
        <w:t xml:space="preserve">. Toute la difficulté est évidemment, en pratique, de savoir où finit ce droit à l’inertie, pour faire place, </w:t>
      </w:r>
      <w:r w:rsidRPr="00525992">
        <w:rPr>
          <w:rFonts w:asciiTheme="minorHAnsi" w:eastAsia="Tahoma" w:hAnsiTheme="minorHAnsi" w:cstheme="minorHAnsi"/>
          <w:color w:val="000000"/>
          <w:spacing w:val="9"/>
          <w:sz w:val="22"/>
          <w:szCs w:val="22"/>
          <w:lang w:val="fr-FR"/>
        </w:rPr>
        <w:t>à charge du tiers, à un devoir de curiosité. Pour déterminer l’existence d’une légèreté ou d’une négligence coupable, il appartiendra au juge de définir l’attitude qu’eût adoptée un homme avisé et prudent dans les circonstances de l’espèce</w:t>
      </w:r>
      <w:r>
        <w:rPr>
          <w:rStyle w:val="Appelnotedebasdep"/>
          <w:rFonts w:asciiTheme="minorHAnsi" w:eastAsia="Tahoma" w:hAnsiTheme="minorHAnsi" w:cstheme="minorHAnsi"/>
          <w:color w:val="000000"/>
          <w:spacing w:val="9"/>
          <w:sz w:val="22"/>
          <w:szCs w:val="22"/>
          <w:lang w:val="fr-FR"/>
        </w:rPr>
        <w:footnoteReference w:id="18"/>
      </w:r>
      <w:r>
        <w:rPr>
          <w:rFonts w:asciiTheme="minorHAnsi" w:eastAsia="Tahoma" w:hAnsiTheme="minorHAnsi" w:cstheme="minorHAnsi"/>
          <w:color w:val="000000"/>
          <w:spacing w:val="9"/>
          <w:sz w:val="22"/>
          <w:szCs w:val="22"/>
          <w:lang w:val="fr-FR"/>
        </w:rPr>
        <w:t xml:space="preserve"> </w:t>
      </w:r>
      <w:r w:rsidRPr="00525992">
        <w:rPr>
          <w:rFonts w:asciiTheme="minorHAnsi" w:hAnsiTheme="minorHAnsi" w:cstheme="minorHAnsi"/>
          <w:spacing w:val="9"/>
          <w:sz w:val="22"/>
          <w:szCs w:val="22"/>
          <w:lang w:val="fr-FR"/>
        </w:rPr>
        <w:t>à charge du tiers, à un devoir de curiosité. Pour déterminer l’existence d’une légèreté ou d’une négligence coupable, il appartiendra au juge de définir l’attitude qu’eût adoptée un homme avisé et prudent dans les circonstances de l’espèce</w:t>
      </w:r>
      <w:r>
        <w:rPr>
          <w:rStyle w:val="Appelnotedebasdep"/>
          <w:rFonts w:asciiTheme="minorHAnsi" w:hAnsiTheme="minorHAnsi" w:cstheme="minorHAnsi"/>
          <w:spacing w:val="9"/>
          <w:sz w:val="22"/>
          <w:szCs w:val="22"/>
          <w:lang w:val="fr-FR"/>
        </w:rPr>
        <w:footnoteReference w:id="19"/>
      </w:r>
      <w:r>
        <w:rPr>
          <w:rFonts w:asciiTheme="minorHAnsi" w:hAnsiTheme="minorHAnsi" w:cstheme="minorHAnsi"/>
          <w:spacing w:val="9"/>
          <w:sz w:val="22"/>
          <w:szCs w:val="22"/>
          <w:lang w:val="fr-FR"/>
        </w:rPr>
        <w:t>.</w:t>
      </w:r>
    </w:p>
    <w:p w14:paraId="0AECB177" w14:textId="77777777" w:rsidR="00525992" w:rsidRPr="00525992" w:rsidRDefault="00525992" w:rsidP="00525992">
      <w:pPr>
        <w:jc w:val="both"/>
        <w:rPr>
          <w:rFonts w:asciiTheme="minorHAnsi" w:eastAsia="Calibri" w:hAnsiTheme="minorHAnsi" w:cstheme="minorHAnsi"/>
          <w:bCs/>
          <w:kern w:val="0"/>
          <w:sz w:val="22"/>
          <w:szCs w:val="22"/>
          <w:lang w:val="fr-FR" w:eastAsia="en-US"/>
        </w:rPr>
      </w:pPr>
    </w:p>
    <w:p w14:paraId="5CC16454" w14:textId="2B4ED922"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En droit du travail, les conditions de la tierce complicité peuvent trouver à s'appliquer lorsque le nouvel employeur ne peut pas prétendre sérieusement avoir ignoré que son nouvel employé/ collaborateur était lié par un contrat de travail avec son précédent employeur, à fortiori s’il a participé activement à la violation par son travailleur des obligations auxquelles celui-ci était soumis à l'égard de son ancien employeur</w:t>
      </w:r>
      <w:r w:rsidRPr="00670028">
        <w:rPr>
          <w:rFonts w:ascii="Calibri" w:eastAsia="Calibri" w:hAnsi="Calibri" w:cs="Calibri"/>
          <w:bCs/>
          <w:kern w:val="0"/>
          <w:sz w:val="22"/>
          <w:szCs w:val="22"/>
          <w:vertAlign w:val="superscript"/>
          <w:lang w:val="fr-FR" w:eastAsia="en-US"/>
        </w:rPr>
        <w:footnoteReference w:id="20"/>
      </w:r>
      <w:r w:rsidRPr="00670028">
        <w:rPr>
          <w:rFonts w:ascii="Calibri" w:eastAsia="Calibri" w:hAnsi="Calibri" w:cs="Calibri"/>
          <w:bCs/>
          <w:kern w:val="0"/>
          <w:sz w:val="22"/>
          <w:szCs w:val="22"/>
          <w:lang w:val="fr-FR" w:eastAsia="en-US"/>
        </w:rPr>
        <w:t xml:space="preserve">. </w:t>
      </w:r>
    </w:p>
    <w:p w14:paraId="4E9F73E6" w14:textId="4F78D476" w:rsidR="00177C81" w:rsidRDefault="00525992" w:rsidP="00525992">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val="fr-FR" w:eastAsia="en-US"/>
        </w:rPr>
        <w:t>A cet égard, il a été jugé qu’e</w:t>
      </w:r>
      <w:r w:rsidR="00670028" w:rsidRPr="00670028">
        <w:rPr>
          <w:rFonts w:ascii="Calibri" w:eastAsia="Calibri" w:hAnsi="Calibri" w:cs="Calibri"/>
          <w:kern w:val="0"/>
          <w:sz w:val="22"/>
          <w:szCs w:val="22"/>
          <w:lang w:val="fr-FR" w:eastAsia="en-US"/>
        </w:rPr>
        <w:t>n</w:t>
      </w:r>
      <w:r w:rsidR="00670028" w:rsidRPr="00670028">
        <w:rPr>
          <w:rFonts w:ascii="Calibri" w:eastAsia="Calibri" w:hAnsi="Calibri" w:cs="Calibri"/>
          <w:kern w:val="0"/>
          <w:sz w:val="22"/>
          <w:szCs w:val="22"/>
          <w:lang w:eastAsia="en-US"/>
        </w:rPr>
        <w:t>gager ou travailler avec un ancien membre du personnel d'un concurrent n'est pas en soi illicite mais il en va autrement en présence d'une clause de non-concurrence dont le tiers, nouvel employeur, devait avoir connaissance</w:t>
      </w:r>
      <w:r w:rsidR="00670028" w:rsidRPr="00670028">
        <w:rPr>
          <w:rFonts w:ascii="Calibri" w:eastAsia="Calibri" w:hAnsi="Calibri" w:cs="Calibri"/>
          <w:kern w:val="0"/>
          <w:sz w:val="22"/>
          <w:szCs w:val="22"/>
          <w:vertAlign w:val="superscript"/>
          <w:lang w:eastAsia="en-US"/>
        </w:rPr>
        <w:footnoteReference w:id="21"/>
      </w:r>
      <w:r w:rsidR="00670028" w:rsidRPr="00670028">
        <w:rPr>
          <w:rFonts w:ascii="Calibri" w:eastAsia="Calibri" w:hAnsi="Calibri" w:cs="Calibri"/>
          <w:kern w:val="0"/>
          <w:sz w:val="22"/>
          <w:szCs w:val="22"/>
          <w:lang w:eastAsia="en-US"/>
        </w:rPr>
        <w:t>.</w:t>
      </w:r>
    </w:p>
    <w:p w14:paraId="73780823"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2.</w:t>
      </w:r>
    </w:p>
    <w:p w14:paraId="5EDD23C5" w14:textId="301CE424"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La société MLD CONCEPT s’exonère de toute responsabilité quant à la violation de la clause de non-concurrence</w:t>
      </w:r>
      <w:r w:rsidR="00BD7FE3">
        <w:rPr>
          <w:rFonts w:ascii="Calibri" w:eastAsia="Calibri" w:hAnsi="Calibri" w:cs="Calibri"/>
          <w:bCs/>
          <w:kern w:val="0"/>
          <w:sz w:val="22"/>
          <w:szCs w:val="22"/>
          <w:lang w:val="fr-FR" w:eastAsia="en-US"/>
        </w:rPr>
        <w:t>,</w:t>
      </w:r>
      <w:r w:rsidRPr="00670028">
        <w:rPr>
          <w:rFonts w:ascii="Calibri" w:eastAsia="Calibri" w:hAnsi="Calibri" w:cs="Calibri"/>
          <w:bCs/>
          <w:kern w:val="0"/>
          <w:sz w:val="22"/>
          <w:szCs w:val="22"/>
          <w:lang w:val="fr-FR" w:eastAsia="en-US"/>
        </w:rPr>
        <w:t xml:space="preserve"> au motif qu’elle n’avait pas connaissance de </w:t>
      </w:r>
      <w:r w:rsidR="00BD7FE3">
        <w:rPr>
          <w:rFonts w:ascii="Calibri" w:eastAsia="Calibri" w:hAnsi="Calibri" w:cs="Calibri"/>
          <w:bCs/>
          <w:kern w:val="0"/>
          <w:sz w:val="22"/>
          <w:szCs w:val="22"/>
          <w:lang w:val="fr-FR" w:eastAsia="en-US"/>
        </w:rPr>
        <w:t>c</w:t>
      </w:r>
      <w:r w:rsidRPr="00670028">
        <w:rPr>
          <w:rFonts w:ascii="Calibri" w:eastAsia="Calibri" w:hAnsi="Calibri" w:cs="Calibri"/>
          <w:bCs/>
          <w:kern w:val="0"/>
          <w:sz w:val="22"/>
          <w:szCs w:val="22"/>
          <w:lang w:val="fr-FR" w:eastAsia="en-US"/>
        </w:rPr>
        <w:t xml:space="preserve">ette clause, lors de l’entrée en service de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(le 05/04/2021). </w:t>
      </w:r>
    </w:p>
    <w:p w14:paraId="64B2337A" w14:textId="5AEE0B3A"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Comme exposé ci-dessus,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dépose un document intitulé « contrat de travail de représentant de commerce », entre lui et la société MLD CONCEPT. Ce document n’est pas signé mais il est daté au 18 décembre 2020. </w:t>
      </w:r>
    </w:p>
    <w:p w14:paraId="236DB347" w14:textId="7CF49C45"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Monsieur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présente sa démission le 29 décembre 2020 et preste son préavis jusqu’au 4</w:t>
      </w:r>
      <w:r w:rsidR="00177C81">
        <w:rPr>
          <w:rFonts w:ascii="Calibri" w:eastAsia="Calibri" w:hAnsi="Calibri" w:cs="Calibri"/>
          <w:bCs/>
          <w:kern w:val="0"/>
          <w:sz w:val="22"/>
          <w:szCs w:val="22"/>
          <w:lang w:val="fr-FR" w:eastAsia="en-US"/>
        </w:rPr>
        <w:t> </w:t>
      </w:r>
      <w:r w:rsidRPr="00670028">
        <w:rPr>
          <w:rFonts w:ascii="Calibri" w:eastAsia="Calibri" w:hAnsi="Calibri" w:cs="Calibri"/>
          <w:bCs/>
          <w:kern w:val="0"/>
          <w:sz w:val="22"/>
          <w:szCs w:val="22"/>
          <w:lang w:val="fr-FR" w:eastAsia="en-US"/>
        </w:rPr>
        <w:t>avril</w:t>
      </w:r>
      <w:r w:rsidR="00177C81">
        <w:rPr>
          <w:rFonts w:ascii="Calibri" w:eastAsia="Calibri" w:hAnsi="Calibri" w:cs="Calibri"/>
          <w:bCs/>
          <w:kern w:val="0"/>
          <w:sz w:val="22"/>
          <w:szCs w:val="22"/>
          <w:lang w:val="fr-FR" w:eastAsia="en-US"/>
        </w:rPr>
        <w:t> </w:t>
      </w:r>
      <w:r w:rsidRPr="00670028">
        <w:rPr>
          <w:rFonts w:ascii="Calibri" w:eastAsia="Calibri" w:hAnsi="Calibri" w:cs="Calibri"/>
          <w:bCs/>
          <w:kern w:val="0"/>
          <w:sz w:val="22"/>
          <w:szCs w:val="22"/>
          <w:lang w:val="fr-FR" w:eastAsia="en-US"/>
        </w:rPr>
        <w:t xml:space="preserve">2021. </w:t>
      </w:r>
    </w:p>
    <w:p w14:paraId="42836A1C" w14:textId="7F910D00"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Les parties reconnaissent que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a commencé ses activités pour la société MLD CONCEPT à partir du 5 avril 2021, sans toutefois que ne soit déposé un exemplaire signé du contrat de travail.</w:t>
      </w:r>
    </w:p>
    <w:p w14:paraId="468A7A4E" w14:textId="5004A928"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La date reprise sur le contrat de travail non signé démontre que, dès sa démission et durant la prestation de son préavis,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était déjà en contact avec la société MLD CONCEPT. Ainsi, lors des entretiens d’embauche ou lors de l’entrée en service, cette société savait ou devait savoir que sa nouvelle recrue exerçait la même fonction, pour une société directement concurrente. </w:t>
      </w:r>
    </w:p>
    <w:p w14:paraId="4982DCC6" w14:textId="187CB6AB"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Le fait qu’elle n’ait eu connaissance du contrat de travail entre PROMAS et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00177C81">
        <w:rPr>
          <w:rFonts w:ascii="Calibri" w:eastAsia="Calibri" w:hAnsi="Calibri" w:cs="Calibri"/>
          <w:bCs/>
          <w:kern w:val="0"/>
          <w:sz w:val="22"/>
          <w:szCs w:val="22"/>
          <w:lang w:val="fr-FR" w:eastAsia="en-US"/>
        </w:rPr>
        <w:t xml:space="preserve"> </w:t>
      </w:r>
      <w:r w:rsidRPr="00670028">
        <w:rPr>
          <w:rFonts w:ascii="Calibri" w:eastAsia="Calibri" w:hAnsi="Calibri" w:cs="Calibri"/>
          <w:bCs/>
          <w:kern w:val="0"/>
          <w:sz w:val="22"/>
          <w:szCs w:val="22"/>
          <w:lang w:val="fr-FR" w:eastAsia="en-US"/>
        </w:rPr>
        <w:t>- et de la clause de no</w:t>
      </w:r>
      <w:r w:rsidR="00177C81">
        <w:rPr>
          <w:rFonts w:ascii="Calibri" w:eastAsia="Calibri" w:hAnsi="Calibri" w:cs="Calibri"/>
          <w:bCs/>
          <w:kern w:val="0"/>
          <w:sz w:val="22"/>
          <w:szCs w:val="22"/>
          <w:lang w:val="fr-FR" w:eastAsia="en-US"/>
        </w:rPr>
        <w:t>n-</w:t>
      </w:r>
      <w:r w:rsidRPr="00670028">
        <w:rPr>
          <w:rFonts w:ascii="Calibri" w:eastAsia="Calibri" w:hAnsi="Calibri" w:cs="Calibri"/>
          <w:bCs/>
          <w:kern w:val="0"/>
          <w:sz w:val="22"/>
          <w:szCs w:val="22"/>
          <w:lang w:val="fr-FR" w:eastAsia="en-US"/>
        </w:rPr>
        <w:t>concurrence y contenue</w:t>
      </w:r>
      <w:r w:rsidR="00177C81">
        <w:rPr>
          <w:rFonts w:ascii="Calibri" w:eastAsia="Calibri" w:hAnsi="Calibri" w:cs="Calibri"/>
          <w:bCs/>
          <w:kern w:val="0"/>
          <w:sz w:val="22"/>
          <w:szCs w:val="22"/>
          <w:lang w:val="fr-FR" w:eastAsia="en-US"/>
        </w:rPr>
        <w:t xml:space="preserve"> </w:t>
      </w:r>
      <w:r w:rsidRPr="00670028">
        <w:rPr>
          <w:rFonts w:ascii="Calibri" w:eastAsia="Calibri" w:hAnsi="Calibri" w:cs="Calibri"/>
          <w:bCs/>
          <w:kern w:val="0"/>
          <w:sz w:val="22"/>
          <w:szCs w:val="22"/>
          <w:lang w:val="fr-FR" w:eastAsia="en-US"/>
        </w:rPr>
        <w:t xml:space="preserve">- qu’après l’entrée en fonction de ce dernier est insuffisant pour l’exonérer de sa tierce complicité. </w:t>
      </w:r>
    </w:p>
    <w:p w14:paraId="33D01CBD" w14:textId="41E0E744" w:rsidR="00BD7FE3"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En permettant à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d’exercer des fonctions de représentant de commerce, fonctions en tout point identiques à celles exercées pour le compte de la société concurrente PROMAS, la société MLD CONCEPT a participé à la violation de la clause de non</w:t>
      </w:r>
      <w:r w:rsidR="00177C81">
        <w:rPr>
          <w:rFonts w:ascii="Calibri" w:eastAsia="Calibri" w:hAnsi="Calibri" w:cs="Calibri"/>
          <w:bCs/>
          <w:kern w:val="0"/>
          <w:sz w:val="22"/>
          <w:szCs w:val="22"/>
          <w:lang w:val="fr-FR" w:eastAsia="en-US"/>
        </w:rPr>
        <w:t>-</w:t>
      </w:r>
      <w:r w:rsidRPr="00670028">
        <w:rPr>
          <w:rFonts w:ascii="Calibri" w:eastAsia="Calibri" w:hAnsi="Calibri" w:cs="Calibri"/>
          <w:bCs/>
          <w:kern w:val="0"/>
          <w:sz w:val="22"/>
          <w:szCs w:val="22"/>
          <w:lang w:val="fr-FR" w:eastAsia="en-US"/>
        </w:rPr>
        <w:t xml:space="preserve">concurrence. </w:t>
      </w:r>
    </w:p>
    <w:p w14:paraId="3C5C7AFC" w14:textId="4DCC5B1C"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Soutenir qu’elle n’avait pas connaissance de cette clause avant la transmission du contrat de travail par le conseil de la société PROMAS témoigne d’une certaine mauvaise foi ou, à tout le moins, d’une légèreté coupable. </w:t>
      </w:r>
    </w:p>
    <w:p w14:paraId="42E6F455" w14:textId="5B9D6D28"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Dans le domaine d’activité concerné (la vente de produits marketing), les sociétés concurrentes se connaissent et prospectent une clientèle identique; il appartenait à la société MLD CONCEPT de se renseigner sur l’existence d’une clause de non concurrence </w:t>
      </w:r>
      <w:r w:rsidR="00BD7FE3">
        <w:rPr>
          <w:rFonts w:ascii="Calibri" w:eastAsia="Calibri" w:hAnsi="Calibri" w:cs="Calibri"/>
          <w:bCs/>
          <w:kern w:val="0"/>
          <w:sz w:val="22"/>
          <w:szCs w:val="22"/>
          <w:lang w:val="fr-FR" w:eastAsia="en-US"/>
        </w:rPr>
        <w:t>imposée à</w:t>
      </w:r>
      <w:r w:rsidRPr="00670028">
        <w:rPr>
          <w:rFonts w:ascii="Calibri" w:eastAsia="Calibri" w:hAnsi="Calibri" w:cs="Calibri"/>
          <w:bCs/>
          <w:kern w:val="0"/>
          <w:sz w:val="22"/>
          <w:szCs w:val="22"/>
          <w:lang w:val="fr-FR" w:eastAsia="en-US"/>
        </w:rPr>
        <w:t xml:space="preserve"> sa nouvelle recrue. </w:t>
      </w:r>
    </w:p>
    <w:p w14:paraId="3138321A" w14:textId="7CA39594"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La position de la société MLD CONCEPT est d’autant moins crédible que, dans le contrat de travail qui la lie à Monsieur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figure également une clause de non-concurrence, largement similaire à celle concernée par la présente procédure. </w:t>
      </w:r>
    </w:p>
    <w:p w14:paraId="53E6E563" w14:textId="788BFAB4"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Dès lors, la tierce complicité à l’égard de la société MLD CONCEPT, quant à la violation par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de la clause contractuelle de non</w:t>
      </w:r>
      <w:r w:rsidR="00177C81">
        <w:rPr>
          <w:rFonts w:ascii="Calibri" w:eastAsia="Calibri" w:hAnsi="Calibri" w:cs="Calibri"/>
          <w:bCs/>
          <w:kern w:val="0"/>
          <w:sz w:val="22"/>
          <w:szCs w:val="22"/>
          <w:lang w:val="fr-FR" w:eastAsia="en-US"/>
        </w:rPr>
        <w:t>-</w:t>
      </w:r>
      <w:r w:rsidRPr="00670028">
        <w:rPr>
          <w:rFonts w:ascii="Calibri" w:eastAsia="Calibri" w:hAnsi="Calibri" w:cs="Calibri"/>
          <w:bCs/>
          <w:kern w:val="0"/>
          <w:sz w:val="22"/>
          <w:szCs w:val="22"/>
          <w:lang w:val="fr-FR" w:eastAsia="en-US"/>
        </w:rPr>
        <w:t xml:space="preserve">concurrence, est établie. </w:t>
      </w:r>
    </w:p>
    <w:p w14:paraId="5BFAEDEA" w14:textId="6BC1F068" w:rsid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En engageant </w:t>
      </w:r>
      <w:r w:rsidR="00177C81">
        <w:rPr>
          <w:rFonts w:ascii="Calibri" w:eastAsia="Calibri" w:hAnsi="Calibri" w:cs="Calibri"/>
          <w:bCs/>
          <w:kern w:val="0"/>
          <w:sz w:val="22"/>
          <w:szCs w:val="22"/>
          <w:lang w:val="fr-FR" w:eastAsia="en-US"/>
        </w:rPr>
        <w:t>M</w:t>
      </w:r>
      <w:r w:rsidRPr="00670028">
        <w:rPr>
          <w:rFonts w:ascii="Calibri" w:eastAsia="Calibri" w:hAnsi="Calibri" w:cs="Calibri"/>
          <w:bCs/>
          <w:kern w:val="0"/>
          <w:sz w:val="22"/>
          <w:szCs w:val="22"/>
          <w:lang w:val="fr-FR" w:eastAsia="en-US"/>
        </w:rPr>
        <w:t xml:space="preserve">onsieur </w:t>
      </w:r>
      <w:r w:rsidR="00AA321F">
        <w:rPr>
          <w:rFonts w:ascii="Calibri" w:eastAsia="Calibri" w:hAnsi="Calibri" w:cs="Calibri"/>
          <w:bCs/>
          <w:kern w:val="0"/>
          <w:sz w:val="22"/>
          <w:szCs w:val="22"/>
          <w:lang w:val="fr-FR" w:eastAsia="en-US"/>
        </w:rPr>
        <w:t>K</w:t>
      </w:r>
      <w:r w:rsidRPr="00670028">
        <w:rPr>
          <w:rFonts w:ascii="Calibri" w:eastAsia="Calibri" w:hAnsi="Calibri" w:cs="Calibri"/>
          <w:bCs/>
          <w:kern w:val="0"/>
          <w:sz w:val="22"/>
          <w:szCs w:val="22"/>
          <w:lang w:val="fr-FR" w:eastAsia="en-US"/>
        </w:rPr>
        <w:t xml:space="preserve"> en qualité de représentant de commerce pour le démarchage et la vente de produits similaires à ceux vendus par la société PROMAS, la société MLD CONCEPT a apporté son concours conscient et effectif à la violation de l’obligation contractuelle de non concurrence. </w:t>
      </w:r>
    </w:p>
    <w:p w14:paraId="3C86881A" w14:textId="000BD09D" w:rsidR="00BD7FE3" w:rsidRDefault="00BD7FE3"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Pr>
          <w:rFonts w:ascii="Calibri" w:eastAsia="Calibri" w:hAnsi="Calibri" w:cs="Calibri"/>
          <w:bCs/>
          <w:kern w:val="0"/>
          <w:sz w:val="22"/>
          <w:szCs w:val="22"/>
          <w:lang w:val="fr-FR" w:eastAsia="en-US"/>
        </w:rPr>
        <w:t>La tierce complicité est établie dans son chef.</w:t>
      </w:r>
    </w:p>
    <w:p w14:paraId="448619E0" w14:textId="06D442EC" w:rsidR="00670028" w:rsidRPr="00BD7FE3" w:rsidRDefault="00670028" w:rsidP="00BD7FE3">
      <w:pPr>
        <w:pStyle w:val="Paragraphedeliste"/>
        <w:widowControl/>
        <w:numPr>
          <w:ilvl w:val="1"/>
          <w:numId w:val="8"/>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BD7FE3">
        <w:rPr>
          <w:rFonts w:ascii="Calibri" w:eastAsia="Calibri" w:hAnsi="Calibri" w:cs="Calibri"/>
          <w:b/>
          <w:kern w:val="0"/>
          <w:sz w:val="22"/>
          <w:szCs w:val="22"/>
          <w:u w:val="single"/>
          <w:lang w:eastAsia="en-US"/>
        </w:rPr>
        <w:t xml:space="preserve">L’étendue et la débition de l’indemnité forfaitaire de non-concurrence </w:t>
      </w:r>
    </w:p>
    <w:p w14:paraId="679B877B"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1.</w:t>
      </w:r>
    </w:p>
    <w:p w14:paraId="54A9631B"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L’étendue de l’indemnité de non concurrence des représentants de commerce est spécifiquement visée à l’article 106 de la loi du 3 juillet 1978 relative au contrat de travail :</w:t>
      </w:r>
    </w:p>
    <w:p w14:paraId="014BF275" w14:textId="77777777" w:rsidR="00670028" w:rsidRPr="00670028" w:rsidRDefault="00670028" w:rsidP="00670028">
      <w:pPr>
        <w:widowControl/>
        <w:shd w:val="clear" w:color="auto" w:fill="FFFFFF"/>
        <w:suppressAutoHyphens w:val="0"/>
        <w:autoSpaceDN/>
        <w:ind w:left="708"/>
        <w:jc w:val="both"/>
        <w:textAlignment w:val="auto"/>
        <w:rPr>
          <w:rFonts w:ascii="Calibri" w:eastAsia="Times New Roman" w:hAnsi="Calibri" w:cs="Calibri"/>
          <w:i/>
          <w:iCs/>
          <w:color w:val="000000"/>
          <w:kern w:val="0"/>
          <w:sz w:val="22"/>
          <w:szCs w:val="22"/>
          <w:lang w:val="fr-FR" w:eastAsia="fr-FR"/>
        </w:rPr>
      </w:pPr>
      <w:r w:rsidRPr="00670028">
        <w:rPr>
          <w:rFonts w:ascii="Calibri" w:eastAsia="Times New Roman" w:hAnsi="Calibri" w:cs="Calibri"/>
          <w:i/>
          <w:iCs/>
          <w:color w:val="000000"/>
          <w:kern w:val="0"/>
          <w:sz w:val="22"/>
          <w:szCs w:val="22"/>
          <w:lang w:val="fr-FR" w:eastAsia="fr-FR"/>
        </w:rPr>
        <w:t>L'indemnité forfaitaire prévue au contrat en cas de violation de la clause de non-concurrence ne peut dépasser une somme égale à trois mois de rémunération.</w:t>
      </w:r>
    </w:p>
    <w:p w14:paraId="59A11857" w14:textId="77777777" w:rsidR="00670028" w:rsidRPr="00670028" w:rsidRDefault="00670028" w:rsidP="00F83006">
      <w:pPr>
        <w:widowControl/>
        <w:shd w:val="clear" w:color="auto" w:fill="FFFFFF"/>
        <w:suppressAutoHyphens w:val="0"/>
        <w:autoSpaceDN/>
        <w:ind w:left="708"/>
        <w:jc w:val="both"/>
        <w:textAlignment w:val="auto"/>
        <w:rPr>
          <w:rFonts w:ascii="Calibri" w:eastAsia="Times New Roman" w:hAnsi="Calibri" w:cs="Calibri"/>
          <w:color w:val="000000"/>
          <w:kern w:val="0"/>
          <w:sz w:val="22"/>
          <w:szCs w:val="22"/>
          <w:lang w:val="fr-FR" w:eastAsia="fr-FR"/>
        </w:rPr>
      </w:pPr>
      <w:r w:rsidRPr="00670028">
        <w:rPr>
          <w:rFonts w:ascii="Calibri" w:eastAsia="Times New Roman" w:hAnsi="Calibri" w:cs="Calibri"/>
          <w:i/>
          <w:iCs/>
          <w:color w:val="000000"/>
          <w:kern w:val="0"/>
          <w:sz w:val="22"/>
          <w:szCs w:val="22"/>
          <w:lang w:val="fr-FR" w:eastAsia="fr-FR"/>
        </w:rPr>
        <w:t>Toutefois, l'employeur peut réclamer une réparation supérieure, à charge de justifier de l'existence et de l'étendue du préjudice.</w:t>
      </w:r>
    </w:p>
    <w:p w14:paraId="60E36BF6" w14:textId="77777777" w:rsidR="00F83006" w:rsidRDefault="00F83006" w:rsidP="00F83006">
      <w:pPr>
        <w:widowControl/>
        <w:suppressAutoHyphens w:val="0"/>
        <w:autoSpaceDN/>
        <w:spacing w:line="256" w:lineRule="auto"/>
        <w:jc w:val="both"/>
        <w:textAlignment w:val="auto"/>
        <w:rPr>
          <w:rFonts w:ascii="Calibri" w:eastAsia="Calibri" w:hAnsi="Calibri" w:cs="Calibri"/>
          <w:bCs/>
          <w:kern w:val="0"/>
          <w:sz w:val="22"/>
          <w:szCs w:val="22"/>
          <w:lang w:val="fr-FR" w:eastAsia="en-US"/>
        </w:rPr>
      </w:pPr>
    </w:p>
    <w:p w14:paraId="059B7151" w14:textId="1B622DE0" w:rsidR="00670028" w:rsidRDefault="00670028" w:rsidP="00F83006">
      <w:pPr>
        <w:widowControl/>
        <w:suppressAutoHyphens w:val="0"/>
        <w:autoSpaceDN/>
        <w:spacing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Cette indemnité doit être calculée sur la base de la rémunération brute du représentant de commerce</w:t>
      </w:r>
      <w:r w:rsidRPr="00670028">
        <w:rPr>
          <w:rFonts w:ascii="Calibri" w:eastAsia="Calibri" w:hAnsi="Calibri" w:cs="Calibri"/>
          <w:bCs/>
          <w:kern w:val="0"/>
          <w:sz w:val="22"/>
          <w:szCs w:val="22"/>
          <w:vertAlign w:val="superscript"/>
          <w:lang w:val="fr-FR" w:eastAsia="en-US"/>
        </w:rPr>
        <w:footnoteReference w:id="22"/>
      </w:r>
      <w:r w:rsidRPr="00670028">
        <w:rPr>
          <w:rFonts w:ascii="Calibri" w:eastAsia="Calibri" w:hAnsi="Calibri" w:cs="Calibri"/>
          <w:bCs/>
          <w:kern w:val="0"/>
          <w:sz w:val="22"/>
          <w:szCs w:val="22"/>
          <w:lang w:val="fr-FR" w:eastAsia="en-US"/>
        </w:rPr>
        <w:t xml:space="preserve">. </w:t>
      </w:r>
    </w:p>
    <w:p w14:paraId="20869BE8" w14:textId="77777777" w:rsidR="00F83006" w:rsidRPr="00670028" w:rsidRDefault="00F83006" w:rsidP="00F83006">
      <w:pPr>
        <w:widowControl/>
        <w:suppressAutoHyphens w:val="0"/>
        <w:autoSpaceDN/>
        <w:spacing w:line="256" w:lineRule="auto"/>
        <w:jc w:val="both"/>
        <w:textAlignment w:val="auto"/>
        <w:rPr>
          <w:rFonts w:ascii="Calibri" w:eastAsia="Calibri" w:hAnsi="Calibri" w:cs="Calibri"/>
          <w:bCs/>
          <w:kern w:val="0"/>
          <w:sz w:val="22"/>
          <w:szCs w:val="22"/>
          <w:lang w:val="fr-FR" w:eastAsia="en-US"/>
        </w:rPr>
      </w:pPr>
    </w:p>
    <w:p w14:paraId="43A80415" w14:textId="2C4CAA59" w:rsidR="00F83006"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Conformément aux termes de l’article 65 §2, alinéas 6 et 7 de la loi relative aux contrats de travail, il faut avoir égard à la rémunération brute du travailleur, payée au cours du mois qui précède le jour de la cessation du contrat de travail. Selon cette même disposition, lorsque la rémunération est en partie variable, il y a lieu de tenir compte de la moyenne de la rémunération brute variable des douze mois qui précèdent le jour de la cessation du contrat. </w:t>
      </w:r>
    </w:p>
    <w:p w14:paraId="19C879BC"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2.</w:t>
      </w:r>
    </w:p>
    <w:p w14:paraId="3AF2D06D" w14:textId="7E7005F9"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La société PROMAS chiffre le montant de l’indemnité forfaitaire, équivalente à trois mois de rémunération, à la somme de 23</w:t>
      </w:r>
      <w:r w:rsidR="00F83006">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963,35</w:t>
      </w:r>
      <w:r w:rsidR="00F83006">
        <w:rPr>
          <w:rFonts w:ascii="Calibri" w:eastAsia="Calibri" w:hAnsi="Calibri" w:cs="Calibri"/>
          <w:bCs/>
          <w:kern w:val="0"/>
          <w:sz w:val="22"/>
          <w:szCs w:val="22"/>
          <w:lang w:eastAsia="en-US"/>
        </w:rPr>
        <w:t> €</w:t>
      </w:r>
      <w:r w:rsidRPr="00670028">
        <w:rPr>
          <w:rFonts w:ascii="Calibri" w:eastAsia="Calibri" w:hAnsi="Calibri" w:cs="Calibri"/>
          <w:bCs/>
          <w:kern w:val="0"/>
          <w:sz w:val="22"/>
          <w:szCs w:val="22"/>
          <w:lang w:eastAsia="en-US"/>
        </w:rPr>
        <w:t xml:space="preserve">. </w:t>
      </w:r>
      <w:r w:rsidR="00BD7FE3">
        <w:rPr>
          <w:rFonts w:ascii="Calibri" w:eastAsia="Calibri" w:hAnsi="Calibri" w:cs="Calibri"/>
          <w:bCs/>
          <w:kern w:val="0"/>
          <w:sz w:val="22"/>
          <w:szCs w:val="22"/>
          <w:lang w:eastAsia="en-US"/>
        </w:rPr>
        <w:t xml:space="preserve">Elle calcule ce montant, </w:t>
      </w:r>
      <w:r w:rsidRPr="00670028">
        <w:rPr>
          <w:rFonts w:ascii="Calibri" w:eastAsia="Calibri" w:hAnsi="Calibri" w:cs="Calibri"/>
          <w:bCs/>
          <w:kern w:val="0"/>
          <w:sz w:val="22"/>
          <w:szCs w:val="22"/>
          <w:lang w:eastAsia="en-US"/>
        </w:rPr>
        <w:t>à majorer des intérêts au taux légal depuis la rupture du contrat, comme suit</w:t>
      </w:r>
      <w:r w:rsidRPr="00670028">
        <w:rPr>
          <w:rFonts w:ascii="Calibri" w:eastAsia="Calibri" w:hAnsi="Calibri" w:cs="Calibri"/>
          <w:bCs/>
          <w:kern w:val="0"/>
          <w:sz w:val="22"/>
          <w:szCs w:val="22"/>
          <w:vertAlign w:val="superscript"/>
          <w:lang w:eastAsia="en-US"/>
        </w:rPr>
        <w:footnoteReference w:id="23"/>
      </w:r>
      <w:r w:rsidRPr="00670028">
        <w:rPr>
          <w:rFonts w:ascii="Calibri" w:eastAsia="Calibri" w:hAnsi="Calibri" w:cs="Calibri"/>
          <w:bCs/>
          <w:kern w:val="0"/>
          <w:sz w:val="22"/>
          <w:szCs w:val="22"/>
          <w:lang w:eastAsia="en-US"/>
        </w:rPr>
        <w:t>:</w:t>
      </w:r>
    </w:p>
    <w:p w14:paraId="1032C91B" w14:textId="0C3C4577" w:rsidR="00670028" w:rsidRPr="00670028" w:rsidRDefault="00BD7FE3" w:rsidP="00670028">
      <w:pPr>
        <w:widowControl/>
        <w:suppressAutoHyphens w:val="0"/>
        <w:autoSpaceDN/>
        <w:spacing w:after="160" w:line="256" w:lineRule="auto"/>
        <w:ind w:left="708"/>
        <w:jc w:val="both"/>
        <w:textAlignment w:val="auto"/>
        <w:rPr>
          <w:rFonts w:ascii="Calibri" w:eastAsia="Calibri" w:hAnsi="Calibri" w:cs="Calibri"/>
          <w:i/>
          <w:iCs/>
          <w:kern w:val="0"/>
          <w:sz w:val="22"/>
          <w:szCs w:val="22"/>
          <w:shd w:val="clear" w:color="auto" w:fill="FFFFFF"/>
          <w:lang w:eastAsia="en-US"/>
        </w:rPr>
      </w:pPr>
      <w:r>
        <w:rPr>
          <w:rFonts w:ascii="Calibri" w:eastAsia="Calibri" w:hAnsi="Calibri" w:cs="Calibri"/>
          <w:i/>
          <w:iCs/>
          <w:kern w:val="0"/>
          <w:sz w:val="22"/>
          <w:szCs w:val="22"/>
          <w:shd w:val="clear" w:color="auto" w:fill="FFFFFF"/>
          <w:lang w:eastAsia="en-US"/>
        </w:rPr>
        <w:t>« </w:t>
      </w:r>
      <w:r w:rsidR="00670028" w:rsidRPr="00670028">
        <w:rPr>
          <w:rFonts w:ascii="Calibri" w:eastAsia="Calibri" w:hAnsi="Calibri" w:cs="Calibri"/>
          <w:i/>
          <w:iCs/>
          <w:kern w:val="0"/>
          <w:sz w:val="22"/>
          <w:szCs w:val="22"/>
          <w:shd w:val="clear" w:color="auto" w:fill="FFFFFF"/>
          <w:lang w:eastAsia="en-US"/>
        </w:rPr>
        <w:t xml:space="preserve">Sur   base   des   12   derniers   mois   précédant   la   rupture   des   relations contractuelles entre parties, la rémunération annuelle de référence de Monsieur </w:t>
      </w:r>
      <w:r w:rsidR="00AA321F">
        <w:rPr>
          <w:rFonts w:ascii="Calibri" w:eastAsia="Calibri" w:hAnsi="Calibri" w:cs="Calibri"/>
          <w:i/>
          <w:iCs/>
          <w:kern w:val="0"/>
          <w:sz w:val="22"/>
          <w:szCs w:val="22"/>
          <w:shd w:val="clear" w:color="auto" w:fill="FFFFFF"/>
          <w:lang w:eastAsia="en-US"/>
        </w:rPr>
        <w:t>K</w:t>
      </w:r>
      <w:r w:rsidR="00670028" w:rsidRPr="00670028">
        <w:rPr>
          <w:rFonts w:ascii="Calibri" w:eastAsia="Calibri" w:hAnsi="Calibri" w:cs="Calibri"/>
          <w:i/>
          <w:iCs/>
          <w:kern w:val="0"/>
          <w:sz w:val="22"/>
          <w:szCs w:val="22"/>
          <w:shd w:val="clear" w:color="auto" w:fill="FFFFFF"/>
          <w:lang w:eastAsia="en-US"/>
        </w:rPr>
        <w:t xml:space="preserve"> s’établit comme suit:</w:t>
      </w:r>
    </w:p>
    <w:p w14:paraId="0759CCAE" w14:textId="523EE317" w:rsidR="00670028" w:rsidRPr="00670028" w:rsidRDefault="00670028" w:rsidP="00670028">
      <w:pPr>
        <w:widowControl/>
        <w:suppressAutoHyphens w:val="0"/>
        <w:autoSpaceDN/>
        <w:spacing w:after="160" w:line="256" w:lineRule="auto"/>
        <w:ind w:left="708"/>
        <w:jc w:val="both"/>
        <w:textAlignment w:val="auto"/>
        <w:rPr>
          <w:rFonts w:ascii="Calibri" w:eastAsia="Calibri" w:hAnsi="Calibri" w:cs="Calibri"/>
          <w:i/>
          <w:iCs/>
          <w:kern w:val="0"/>
          <w:sz w:val="22"/>
          <w:szCs w:val="22"/>
          <w:shd w:val="clear" w:color="auto" w:fill="FFFFFF"/>
          <w:lang w:eastAsia="en-US"/>
        </w:rPr>
      </w:pPr>
      <w:r w:rsidRPr="00670028">
        <w:rPr>
          <w:rFonts w:ascii="Calibri" w:eastAsia="Calibri" w:hAnsi="Calibri" w:cs="Calibri"/>
          <w:i/>
          <w:iCs/>
          <w:kern w:val="0"/>
          <w:sz w:val="22"/>
          <w:szCs w:val="22"/>
          <w:shd w:val="clear" w:color="auto" w:fill="FFFFFF"/>
          <w:lang w:eastAsia="en-US"/>
        </w:rPr>
        <w:t>Rémunération mensuelle (suivant C 4 ): 6.886,02</w:t>
      </w:r>
      <w:r w:rsidR="00F83006">
        <w:rPr>
          <w:rFonts w:ascii="Calibri" w:eastAsia="Calibri" w:hAnsi="Calibri" w:cs="Calibri"/>
          <w:i/>
          <w:iCs/>
          <w:kern w:val="0"/>
          <w:sz w:val="22"/>
          <w:szCs w:val="22"/>
          <w:shd w:val="clear" w:color="auto" w:fill="FFFFFF"/>
          <w:lang w:eastAsia="en-US"/>
        </w:rPr>
        <w:t> </w:t>
      </w:r>
      <w:r w:rsidRPr="00670028">
        <w:rPr>
          <w:rFonts w:ascii="Calibri" w:eastAsia="Calibri" w:hAnsi="Calibri" w:cs="Calibri"/>
          <w:i/>
          <w:iCs/>
          <w:kern w:val="0"/>
          <w:sz w:val="22"/>
          <w:szCs w:val="22"/>
          <w:shd w:val="clear" w:color="auto" w:fill="FFFFFF"/>
          <w:lang w:eastAsia="en-US"/>
        </w:rPr>
        <w:t>€.</w:t>
      </w:r>
    </w:p>
    <w:p w14:paraId="1B0DE7B6" w14:textId="6DE11929" w:rsidR="00670028" w:rsidRPr="00670028" w:rsidRDefault="00670028" w:rsidP="00670028">
      <w:pPr>
        <w:widowControl/>
        <w:suppressAutoHyphens w:val="0"/>
        <w:autoSpaceDN/>
        <w:spacing w:after="160" w:line="256" w:lineRule="auto"/>
        <w:ind w:left="708"/>
        <w:jc w:val="both"/>
        <w:textAlignment w:val="auto"/>
        <w:rPr>
          <w:rFonts w:ascii="Calibri" w:eastAsia="Calibri" w:hAnsi="Calibri" w:cs="Calibri"/>
          <w:i/>
          <w:iCs/>
          <w:kern w:val="0"/>
          <w:sz w:val="22"/>
          <w:szCs w:val="22"/>
          <w:shd w:val="clear" w:color="auto" w:fill="FFFFFF"/>
          <w:lang w:eastAsia="en-US"/>
        </w:rPr>
      </w:pPr>
      <w:r w:rsidRPr="00670028">
        <w:rPr>
          <w:rFonts w:ascii="Calibri" w:eastAsia="Calibri" w:hAnsi="Calibri" w:cs="Calibri"/>
          <w:i/>
          <w:iCs/>
          <w:kern w:val="0"/>
          <w:sz w:val="22"/>
          <w:szCs w:val="22"/>
          <w:shd w:val="clear" w:color="auto" w:fill="FFFFFF"/>
          <w:lang w:eastAsia="en-US"/>
        </w:rPr>
        <w:t>Rémunération annuelle de référence: 6.886,02</w:t>
      </w:r>
      <w:r w:rsidR="00F83006">
        <w:rPr>
          <w:rFonts w:ascii="Calibri" w:eastAsia="Calibri" w:hAnsi="Calibri" w:cs="Calibri"/>
          <w:i/>
          <w:iCs/>
          <w:kern w:val="0"/>
          <w:sz w:val="22"/>
          <w:szCs w:val="22"/>
          <w:shd w:val="clear" w:color="auto" w:fill="FFFFFF"/>
          <w:lang w:eastAsia="en-US"/>
        </w:rPr>
        <w:t> </w:t>
      </w:r>
      <w:r w:rsidRPr="00670028">
        <w:rPr>
          <w:rFonts w:ascii="Calibri" w:eastAsia="Calibri" w:hAnsi="Calibri" w:cs="Calibri"/>
          <w:i/>
          <w:iCs/>
          <w:kern w:val="0"/>
          <w:sz w:val="22"/>
          <w:szCs w:val="22"/>
          <w:shd w:val="clear" w:color="auto" w:fill="FFFFFF"/>
          <w:lang w:eastAsia="en-US"/>
        </w:rPr>
        <w:t>€ X 13,92 = 95.853,40</w:t>
      </w:r>
      <w:r w:rsidR="00F83006">
        <w:rPr>
          <w:rFonts w:ascii="Calibri" w:eastAsia="Calibri" w:hAnsi="Calibri" w:cs="Calibri"/>
          <w:i/>
          <w:iCs/>
          <w:kern w:val="0"/>
          <w:sz w:val="22"/>
          <w:szCs w:val="22"/>
          <w:shd w:val="clear" w:color="auto" w:fill="FFFFFF"/>
          <w:lang w:eastAsia="en-US"/>
        </w:rPr>
        <w:t> </w:t>
      </w:r>
      <w:r w:rsidRPr="00670028">
        <w:rPr>
          <w:rFonts w:ascii="Calibri" w:eastAsia="Calibri" w:hAnsi="Calibri" w:cs="Calibri"/>
          <w:i/>
          <w:iCs/>
          <w:kern w:val="0"/>
          <w:sz w:val="22"/>
          <w:szCs w:val="22"/>
          <w:shd w:val="clear" w:color="auto" w:fill="FFFFFF"/>
          <w:lang w:eastAsia="en-US"/>
        </w:rPr>
        <w:t>€.</w:t>
      </w:r>
    </w:p>
    <w:p w14:paraId="7F7EE2F1" w14:textId="11F71DED" w:rsidR="00670028" w:rsidRPr="00670028" w:rsidRDefault="00670028" w:rsidP="00670028">
      <w:pPr>
        <w:widowControl/>
        <w:suppressAutoHyphens w:val="0"/>
        <w:autoSpaceDN/>
        <w:spacing w:after="160" w:line="256" w:lineRule="auto"/>
        <w:ind w:left="708"/>
        <w:jc w:val="both"/>
        <w:textAlignment w:val="auto"/>
        <w:rPr>
          <w:rFonts w:ascii="Calibri" w:eastAsia="Calibri" w:hAnsi="Calibri" w:cs="Calibri"/>
          <w:bCs/>
          <w:kern w:val="0"/>
          <w:sz w:val="22"/>
          <w:szCs w:val="22"/>
          <w:lang w:eastAsia="en-US"/>
        </w:rPr>
      </w:pPr>
      <w:r w:rsidRPr="00670028">
        <w:rPr>
          <w:rFonts w:ascii="Calibri" w:eastAsia="Calibri" w:hAnsi="Calibri" w:cs="Calibri"/>
          <w:i/>
          <w:iCs/>
          <w:kern w:val="0"/>
          <w:sz w:val="22"/>
          <w:szCs w:val="22"/>
          <w:shd w:val="clear" w:color="auto" w:fill="FFFFFF"/>
          <w:lang w:eastAsia="en-US"/>
        </w:rPr>
        <w:t>L’indemnité de non-concurrence est donc de: 95.583,40</w:t>
      </w:r>
      <w:r w:rsidR="00F83006">
        <w:rPr>
          <w:rFonts w:ascii="Calibri" w:eastAsia="Calibri" w:hAnsi="Calibri" w:cs="Calibri"/>
          <w:i/>
          <w:iCs/>
          <w:kern w:val="0"/>
          <w:sz w:val="22"/>
          <w:szCs w:val="22"/>
          <w:shd w:val="clear" w:color="auto" w:fill="FFFFFF"/>
          <w:lang w:eastAsia="en-US"/>
        </w:rPr>
        <w:t> </w:t>
      </w:r>
      <w:r w:rsidRPr="00670028">
        <w:rPr>
          <w:rFonts w:ascii="Calibri" w:eastAsia="Calibri" w:hAnsi="Calibri" w:cs="Calibri"/>
          <w:i/>
          <w:iCs/>
          <w:kern w:val="0"/>
          <w:sz w:val="22"/>
          <w:szCs w:val="22"/>
          <w:shd w:val="clear" w:color="auto" w:fill="FFFFFF"/>
          <w:lang w:eastAsia="en-US"/>
        </w:rPr>
        <w:t>€: 12 mois x3 mois = 23.963,35</w:t>
      </w:r>
      <w:r w:rsidR="00F83006">
        <w:rPr>
          <w:rFonts w:ascii="Calibri" w:eastAsia="Calibri" w:hAnsi="Calibri" w:cs="Calibri"/>
          <w:kern w:val="0"/>
          <w:sz w:val="22"/>
          <w:szCs w:val="22"/>
          <w:shd w:val="clear" w:color="auto" w:fill="FFFFFF"/>
          <w:lang w:eastAsia="en-US"/>
        </w:rPr>
        <w:t> </w:t>
      </w:r>
      <w:r w:rsidRPr="00670028">
        <w:rPr>
          <w:rFonts w:ascii="Calibri" w:eastAsia="Calibri" w:hAnsi="Calibri" w:cs="Calibri"/>
          <w:kern w:val="0"/>
          <w:sz w:val="22"/>
          <w:szCs w:val="22"/>
          <w:shd w:val="clear" w:color="auto" w:fill="FFFFFF"/>
          <w:lang w:eastAsia="en-US"/>
        </w:rPr>
        <w:t>€</w:t>
      </w:r>
      <w:r w:rsidR="00BD7FE3">
        <w:rPr>
          <w:rFonts w:ascii="Calibri" w:eastAsia="Calibri" w:hAnsi="Calibri" w:cs="Calibri"/>
          <w:kern w:val="0"/>
          <w:sz w:val="22"/>
          <w:szCs w:val="22"/>
          <w:shd w:val="clear" w:color="auto" w:fill="FFFFFF"/>
          <w:lang w:eastAsia="en-US"/>
        </w:rPr>
        <w:t> »</w:t>
      </w:r>
    </w:p>
    <w:p w14:paraId="41D52FBC" w14:textId="1624FEBA"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Monsieur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soutient que le salaire brut moyen théorique repris sur le formulaire C4 n’est pas justifié, et il produit le calcul suivant</w:t>
      </w:r>
      <w:r w:rsidRPr="00670028">
        <w:rPr>
          <w:rFonts w:ascii="Calibri" w:eastAsia="Calibri" w:hAnsi="Calibri" w:cs="Calibri"/>
          <w:bCs/>
          <w:kern w:val="0"/>
          <w:sz w:val="22"/>
          <w:szCs w:val="22"/>
          <w:vertAlign w:val="superscript"/>
          <w:lang w:eastAsia="en-US"/>
        </w:rPr>
        <w:footnoteReference w:id="24"/>
      </w:r>
      <w:r w:rsidRPr="00670028">
        <w:rPr>
          <w:rFonts w:ascii="Calibri" w:eastAsia="Calibri" w:hAnsi="Calibri" w:cs="Calibri"/>
          <w:bCs/>
          <w:kern w:val="0"/>
          <w:sz w:val="22"/>
          <w:szCs w:val="22"/>
          <w:lang w:eastAsia="en-US"/>
        </w:rPr>
        <w:t> :</w:t>
      </w:r>
    </w:p>
    <w:p w14:paraId="2A9526A0" w14:textId="21CECF68" w:rsidR="00670028" w:rsidRPr="00670028" w:rsidRDefault="00BD7FE3" w:rsidP="00670028">
      <w:pPr>
        <w:widowControl/>
        <w:suppressAutoHyphens w:val="0"/>
        <w:autoSpaceDN/>
        <w:spacing w:before="280" w:after="160" w:line="273" w:lineRule="exact"/>
        <w:ind w:left="792"/>
        <w:jc w:val="both"/>
        <w:rPr>
          <w:rFonts w:ascii="Calibri" w:eastAsia="Times New Roman" w:hAnsi="Calibri" w:cs="Calibri"/>
          <w:i/>
          <w:iCs/>
          <w:color w:val="000000"/>
          <w:kern w:val="0"/>
          <w:sz w:val="22"/>
          <w:szCs w:val="22"/>
          <w:lang w:val="fr-FR" w:eastAsia="en-US"/>
        </w:rPr>
      </w:pPr>
      <w:r>
        <w:rPr>
          <w:rFonts w:ascii="Calibri" w:eastAsia="Times New Roman" w:hAnsi="Calibri" w:cs="Calibri"/>
          <w:i/>
          <w:iCs/>
          <w:color w:val="000000"/>
          <w:kern w:val="0"/>
          <w:sz w:val="22"/>
          <w:szCs w:val="22"/>
          <w:lang w:val="fr-FR" w:eastAsia="en-US"/>
        </w:rPr>
        <w:t>« </w:t>
      </w:r>
      <w:r w:rsidR="00670028" w:rsidRPr="00670028">
        <w:rPr>
          <w:rFonts w:ascii="Calibri" w:eastAsia="Times New Roman" w:hAnsi="Calibri" w:cs="Calibri"/>
          <w:i/>
          <w:iCs/>
          <w:color w:val="000000"/>
          <w:kern w:val="0"/>
          <w:sz w:val="22"/>
          <w:szCs w:val="22"/>
          <w:lang w:val="fr-FR" w:eastAsia="en-US"/>
        </w:rPr>
        <w:t>Salaire mensuel repris sur fiche de paie de 04/2021 : 1</w:t>
      </w:r>
      <w:r w:rsidR="00F83006">
        <w:rPr>
          <w:rFonts w:ascii="Calibri" w:eastAsia="Times New Roman" w:hAnsi="Calibri" w:cs="Calibri"/>
          <w:i/>
          <w:iCs/>
          <w:color w:val="000000"/>
          <w:kern w:val="0"/>
          <w:sz w:val="22"/>
          <w:szCs w:val="22"/>
          <w:lang w:val="fr-FR" w:eastAsia="en-US"/>
        </w:rPr>
        <w:t>.</w:t>
      </w:r>
      <w:r w:rsidR="00670028" w:rsidRPr="00670028">
        <w:rPr>
          <w:rFonts w:ascii="Calibri" w:eastAsia="Times New Roman" w:hAnsi="Calibri" w:cs="Calibri"/>
          <w:i/>
          <w:iCs/>
          <w:color w:val="000000"/>
          <w:kern w:val="0"/>
          <w:sz w:val="22"/>
          <w:szCs w:val="22"/>
          <w:lang w:val="fr-FR" w:eastAsia="en-US"/>
        </w:rPr>
        <w:t>692,08</w:t>
      </w:r>
      <w:r w:rsidR="00F83006">
        <w:rPr>
          <w:rFonts w:ascii="Calibri" w:eastAsia="Times New Roman" w:hAnsi="Calibri" w:cs="Calibri"/>
          <w:i/>
          <w:iCs/>
          <w:color w:val="000000"/>
          <w:kern w:val="0"/>
          <w:sz w:val="22"/>
          <w:szCs w:val="22"/>
          <w:lang w:val="fr-FR" w:eastAsia="en-US"/>
        </w:rPr>
        <w:t> </w:t>
      </w:r>
      <w:r w:rsidR="00670028" w:rsidRPr="00670028">
        <w:rPr>
          <w:rFonts w:ascii="Calibri" w:eastAsia="Times New Roman" w:hAnsi="Calibri" w:cs="Calibri"/>
          <w:i/>
          <w:iCs/>
          <w:color w:val="000000"/>
          <w:kern w:val="0"/>
          <w:sz w:val="22"/>
          <w:szCs w:val="22"/>
          <w:lang w:val="fr-FR" w:eastAsia="en-US"/>
        </w:rPr>
        <w:t>€ ;</w:t>
      </w:r>
    </w:p>
    <w:p w14:paraId="36F78E1C" w14:textId="7B329234" w:rsidR="00670028" w:rsidRPr="00670028" w:rsidRDefault="00670028" w:rsidP="00670028">
      <w:pPr>
        <w:widowControl/>
        <w:suppressAutoHyphens w:val="0"/>
        <w:autoSpaceDN/>
        <w:spacing w:before="3" w:after="160" w:line="273" w:lineRule="exact"/>
        <w:ind w:left="792"/>
        <w:jc w:val="both"/>
        <w:rPr>
          <w:rFonts w:ascii="Calibri" w:eastAsia="Times New Roman" w:hAnsi="Calibri" w:cs="Calibri"/>
          <w:i/>
          <w:iCs/>
          <w:color w:val="000000"/>
          <w:spacing w:val="1"/>
          <w:kern w:val="0"/>
          <w:sz w:val="22"/>
          <w:szCs w:val="22"/>
          <w:lang w:val="fr-FR" w:eastAsia="en-US"/>
        </w:rPr>
      </w:pPr>
      <w:r w:rsidRPr="00670028">
        <w:rPr>
          <w:rFonts w:ascii="Calibri" w:eastAsia="Times New Roman" w:hAnsi="Calibri" w:cs="Calibri"/>
          <w:i/>
          <w:iCs/>
          <w:color w:val="000000"/>
          <w:spacing w:val="1"/>
          <w:kern w:val="0"/>
          <w:sz w:val="22"/>
          <w:szCs w:val="22"/>
          <w:lang w:val="fr-FR" w:eastAsia="en-US"/>
        </w:rPr>
        <w:t>Commission pour la période 04/2020 à 04/2021 : 63</w:t>
      </w:r>
      <w:r w:rsidR="00F83006">
        <w:rPr>
          <w:rFonts w:ascii="Calibri" w:eastAsia="Times New Roman" w:hAnsi="Calibri" w:cs="Calibri"/>
          <w:i/>
          <w:iCs/>
          <w:color w:val="000000"/>
          <w:spacing w:val="1"/>
          <w:kern w:val="0"/>
          <w:sz w:val="22"/>
          <w:szCs w:val="22"/>
          <w:lang w:val="fr-FR" w:eastAsia="en-US"/>
        </w:rPr>
        <w:t>.</w:t>
      </w:r>
      <w:r w:rsidRPr="00670028">
        <w:rPr>
          <w:rFonts w:ascii="Calibri" w:eastAsia="Times New Roman" w:hAnsi="Calibri" w:cs="Calibri"/>
          <w:i/>
          <w:iCs/>
          <w:color w:val="000000"/>
          <w:spacing w:val="1"/>
          <w:kern w:val="0"/>
          <w:sz w:val="22"/>
          <w:szCs w:val="22"/>
          <w:lang w:val="fr-FR" w:eastAsia="en-US"/>
        </w:rPr>
        <w:t>929,63</w:t>
      </w:r>
      <w:r w:rsidR="00F83006">
        <w:rPr>
          <w:rFonts w:ascii="Calibri" w:eastAsia="Times New Roman" w:hAnsi="Calibri" w:cs="Calibri"/>
          <w:i/>
          <w:iCs/>
          <w:color w:val="000000"/>
          <w:spacing w:val="1"/>
          <w:kern w:val="0"/>
          <w:sz w:val="22"/>
          <w:szCs w:val="22"/>
          <w:lang w:val="fr-FR" w:eastAsia="en-US"/>
        </w:rPr>
        <w:t> €</w:t>
      </w:r>
      <w:r w:rsidRPr="00670028">
        <w:rPr>
          <w:rFonts w:ascii="Calibri" w:eastAsia="Times New Roman" w:hAnsi="Calibri" w:cs="Calibri"/>
          <w:i/>
          <w:iCs/>
          <w:color w:val="000000"/>
          <w:spacing w:val="1"/>
          <w:kern w:val="0"/>
          <w:sz w:val="22"/>
          <w:szCs w:val="22"/>
          <w:lang w:val="fr-FR" w:eastAsia="en-US"/>
        </w:rPr>
        <w:t>;</w:t>
      </w:r>
    </w:p>
    <w:p w14:paraId="521394AC" w14:textId="755E9F4C" w:rsidR="00670028" w:rsidRPr="00670028" w:rsidRDefault="00670028" w:rsidP="00670028">
      <w:pPr>
        <w:widowControl/>
        <w:suppressAutoHyphens w:val="0"/>
        <w:autoSpaceDN/>
        <w:spacing w:before="1" w:after="160" w:line="273" w:lineRule="exact"/>
        <w:ind w:left="792"/>
        <w:jc w:val="both"/>
        <w:rPr>
          <w:rFonts w:ascii="Calibri" w:eastAsia="Times New Roman" w:hAnsi="Calibri" w:cs="Calibri"/>
          <w:i/>
          <w:iCs/>
          <w:color w:val="000000"/>
          <w:spacing w:val="1"/>
          <w:kern w:val="0"/>
          <w:sz w:val="22"/>
          <w:szCs w:val="22"/>
          <w:lang w:val="fr-FR" w:eastAsia="en-US"/>
        </w:rPr>
      </w:pPr>
      <w:r w:rsidRPr="00670028">
        <w:rPr>
          <w:rFonts w:ascii="Calibri" w:eastAsia="Times New Roman" w:hAnsi="Calibri" w:cs="Calibri"/>
          <w:i/>
          <w:iCs/>
          <w:color w:val="000000"/>
          <w:spacing w:val="1"/>
          <w:kern w:val="0"/>
          <w:sz w:val="22"/>
          <w:szCs w:val="22"/>
          <w:lang w:val="fr-FR" w:eastAsia="en-US"/>
        </w:rPr>
        <w:t>Prime sectorielle payé en 2021 : 166,46</w:t>
      </w:r>
      <w:r w:rsidR="00F83006">
        <w:rPr>
          <w:rFonts w:ascii="Calibri" w:eastAsia="Times New Roman" w:hAnsi="Calibri" w:cs="Calibri"/>
          <w:i/>
          <w:iCs/>
          <w:color w:val="000000"/>
          <w:spacing w:val="1"/>
          <w:kern w:val="0"/>
          <w:sz w:val="22"/>
          <w:szCs w:val="22"/>
          <w:lang w:val="fr-FR" w:eastAsia="en-US"/>
        </w:rPr>
        <w:t> €</w:t>
      </w:r>
      <w:r w:rsidRPr="00670028">
        <w:rPr>
          <w:rFonts w:ascii="Calibri" w:eastAsia="Times New Roman" w:hAnsi="Calibri" w:cs="Calibri"/>
          <w:i/>
          <w:iCs/>
          <w:color w:val="000000"/>
          <w:spacing w:val="1"/>
          <w:kern w:val="0"/>
          <w:sz w:val="22"/>
          <w:szCs w:val="22"/>
          <w:lang w:val="fr-FR" w:eastAsia="en-US"/>
        </w:rPr>
        <w:t xml:space="preserve">; </w:t>
      </w:r>
    </w:p>
    <w:p w14:paraId="543B75C8" w14:textId="3033A42B" w:rsidR="00670028" w:rsidRPr="00670028" w:rsidRDefault="00670028" w:rsidP="00670028">
      <w:pPr>
        <w:widowControl/>
        <w:suppressAutoHyphens w:val="0"/>
        <w:autoSpaceDN/>
        <w:spacing w:before="7" w:after="160" w:line="272" w:lineRule="exact"/>
        <w:ind w:left="792"/>
        <w:jc w:val="both"/>
        <w:rPr>
          <w:rFonts w:ascii="Calibri" w:eastAsia="Times New Roman" w:hAnsi="Calibri" w:cs="Calibri"/>
          <w:i/>
          <w:iCs/>
          <w:color w:val="000000"/>
          <w:kern w:val="0"/>
          <w:sz w:val="22"/>
          <w:szCs w:val="22"/>
          <w:lang w:val="fr-FR" w:eastAsia="en-US"/>
        </w:rPr>
      </w:pPr>
      <w:r w:rsidRPr="00670028">
        <w:rPr>
          <w:rFonts w:ascii="Calibri" w:eastAsia="Times New Roman" w:hAnsi="Calibri" w:cs="Calibri"/>
          <w:i/>
          <w:iCs/>
          <w:color w:val="000000"/>
          <w:kern w:val="0"/>
          <w:sz w:val="22"/>
          <w:szCs w:val="22"/>
          <w:lang w:val="fr-FR" w:eastAsia="en-US"/>
        </w:rPr>
        <w:t>Soit un salaire mensuel de : (1</w:t>
      </w:r>
      <w:r w:rsidR="00F83006">
        <w:rPr>
          <w:rFonts w:ascii="Calibri" w:eastAsia="Times New Roman" w:hAnsi="Calibri" w:cs="Calibri"/>
          <w:i/>
          <w:iCs/>
          <w:color w:val="000000"/>
          <w:kern w:val="0"/>
          <w:sz w:val="22"/>
          <w:szCs w:val="22"/>
          <w:lang w:val="fr-FR" w:eastAsia="en-US"/>
        </w:rPr>
        <w:t>.</w:t>
      </w:r>
      <w:r w:rsidRPr="00670028">
        <w:rPr>
          <w:rFonts w:ascii="Calibri" w:eastAsia="Times New Roman" w:hAnsi="Calibri" w:cs="Calibri"/>
          <w:i/>
          <w:iCs/>
          <w:color w:val="000000"/>
          <w:kern w:val="0"/>
          <w:sz w:val="22"/>
          <w:szCs w:val="22"/>
          <w:lang w:val="fr-FR" w:eastAsia="en-US"/>
        </w:rPr>
        <w:t>692,08 x 13,92/12 ) + (63</w:t>
      </w:r>
      <w:r w:rsidR="00F83006">
        <w:rPr>
          <w:rFonts w:ascii="Calibri" w:eastAsia="Times New Roman" w:hAnsi="Calibri" w:cs="Calibri"/>
          <w:i/>
          <w:iCs/>
          <w:color w:val="000000"/>
          <w:kern w:val="0"/>
          <w:sz w:val="22"/>
          <w:szCs w:val="22"/>
          <w:lang w:val="fr-FR" w:eastAsia="en-US"/>
        </w:rPr>
        <w:t>.</w:t>
      </w:r>
      <w:r w:rsidRPr="00670028">
        <w:rPr>
          <w:rFonts w:ascii="Calibri" w:eastAsia="Times New Roman" w:hAnsi="Calibri" w:cs="Calibri"/>
          <w:i/>
          <w:iCs/>
          <w:color w:val="000000"/>
          <w:kern w:val="0"/>
          <w:sz w:val="22"/>
          <w:szCs w:val="22"/>
          <w:lang w:val="fr-FR" w:eastAsia="en-US"/>
        </w:rPr>
        <w:t xml:space="preserve">929,63/12) + (166,46 /12) = </w:t>
      </w:r>
    </w:p>
    <w:p w14:paraId="082257B2" w14:textId="1358C99E" w:rsidR="00670028" w:rsidRPr="00670028" w:rsidRDefault="00670028" w:rsidP="00670028">
      <w:pPr>
        <w:widowControl/>
        <w:suppressAutoHyphens w:val="0"/>
        <w:autoSpaceDN/>
        <w:spacing w:after="160" w:line="272" w:lineRule="exact"/>
        <w:ind w:left="792"/>
        <w:jc w:val="both"/>
        <w:rPr>
          <w:rFonts w:ascii="Calibri" w:eastAsia="Times New Roman" w:hAnsi="Calibri" w:cs="Calibri"/>
          <w:i/>
          <w:iCs/>
          <w:color w:val="000000"/>
          <w:spacing w:val="-3"/>
          <w:kern w:val="0"/>
          <w:sz w:val="22"/>
          <w:szCs w:val="22"/>
          <w:lang w:val="fr-FR" w:eastAsia="en-US"/>
        </w:rPr>
      </w:pPr>
      <w:r w:rsidRPr="00670028">
        <w:rPr>
          <w:rFonts w:ascii="Calibri" w:eastAsia="Times New Roman" w:hAnsi="Calibri" w:cs="Calibri"/>
          <w:i/>
          <w:iCs/>
          <w:color w:val="000000"/>
          <w:spacing w:val="-3"/>
          <w:kern w:val="0"/>
          <w:sz w:val="22"/>
          <w:szCs w:val="22"/>
          <w:lang w:val="fr-FR" w:eastAsia="en-US"/>
        </w:rPr>
        <w:t>7</w:t>
      </w:r>
      <w:r w:rsidR="00F83006">
        <w:rPr>
          <w:rFonts w:ascii="Calibri" w:eastAsia="Times New Roman" w:hAnsi="Calibri" w:cs="Calibri"/>
          <w:i/>
          <w:iCs/>
          <w:color w:val="000000"/>
          <w:spacing w:val="-3"/>
          <w:kern w:val="0"/>
          <w:sz w:val="22"/>
          <w:szCs w:val="22"/>
          <w:lang w:val="fr-FR" w:eastAsia="en-US"/>
        </w:rPr>
        <w:t>.</w:t>
      </w:r>
      <w:r w:rsidRPr="00670028">
        <w:rPr>
          <w:rFonts w:ascii="Calibri" w:eastAsia="Times New Roman" w:hAnsi="Calibri" w:cs="Calibri"/>
          <w:i/>
          <w:iCs/>
          <w:color w:val="000000"/>
          <w:spacing w:val="-3"/>
          <w:kern w:val="0"/>
          <w:sz w:val="22"/>
          <w:szCs w:val="22"/>
          <w:lang w:val="fr-FR" w:eastAsia="en-US"/>
        </w:rPr>
        <w:t>304,15</w:t>
      </w:r>
      <w:r w:rsidR="00F83006">
        <w:rPr>
          <w:rFonts w:ascii="Calibri" w:eastAsia="Times New Roman" w:hAnsi="Calibri" w:cs="Calibri"/>
          <w:i/>
          <w:iCs/>
          <w:color w:val="000000"/>
          <w:spacing w:val="-3"/>
          <w:kern w:val="0"/>
          <w:sz w:val="22"/>
          <w:szCs w:val="22"/>
          <w:lang w:val="fr-FR" w:eastAsia="en-US"/>
        </w:rPr>
        <w:t> €</w:t>
      </w:r>
      <w:r w:rsidRPr="00670028">
        <w:rPr>
          <w:rFonts w:ascii="Calibri" w:eastAsia="Times New Roman" w:hAnsi="Calibri" w:cs="Calibri"/>
          <w:i/>
          <w:iCs/>
          <w:color w:val="000000"/>
          <w:spacing w:val="-3"/>
          <w:kern w:val="0"/>
          <w:sz w:val="22"/>
          <w:szCs w:val="22"/>
          <w:lang w:val="fr-FR" w:eastAsia="en-US"/>
        </w:rPr>
        <w:t xml:space="preserve">. </w:t>
      </w:r>
    </w:p>
    <w:p w14:paraId="288AF991" w14:textId="0F266237" w:rsidR="00670028" w:rsidRPr="00670028" w:rsidRDefault="00670028" w:rsidP="00670028">
      <w:pPr>
        <w:widowControl/>
        <w:suppressAutoHyphens w:val="0"/>
        <w:autoSpaceDN/>
        <w:spacing w:before="287" w:after="160" w:line="273" w:lineRule="exact"/>
        <w:ind w:left="72" w:firstLine="636"/>
        <w:jc w:val="both"/>
        <w:rPr>
          <w:rFonts w:ascii="Calibri" w:eastAsia="Times New Roman" w:hAnsi="Calibri" w:cs="Calibri"/>
          <w:i/>
          <w:iCs/>
          <w:color w:val="000000"/>
          <w:kern w:val="0"/>
          <w:sz w:val="22"/>
          <w:szCs w:val="22"/>
          <w:lang w:val="fr-FR" w:eastAsia="en-US"/>
        </w:rPr>
      </w:pPr>
      <w:r w:rsidRPr="00670028">
        <w:rPr>
          <w:rFonts w:ascii="Calibri" w:eastAsia="Times New Roman" w:hAnsi="Calibri" w:cs="Calibri"/>
          <w:i/>
          <w:iCs/>
          <w:color w:val="000000"/>
          <w:kern w:val="0"/>
          <w:sz w:val="22"/>
          <w:szCs w:val="22"/>
          <w:lang w:val="fr-FR" w:eastAsia="en-US"/>
        </w:rPr>
        <w:t xml:space="preserve"> Dès lors, l'indemnité forfaitaire de 3 mois serait de 7</w:t>
      </w:r>
      <w:r w:rsidR="00F83006">
        <w:rPr>
          <w:rFonts w:ascii="Calibri" w:eastAsia="Times New Roman" w:hAnsi="Calibri" w:cs="Calibri"/>
          <w:i/>
          <w:iCs/>
          <w:color w:val="000000"/>
          <w:kern w:val="0"/>
          <w:sz w:val="22"/>
          <w:szCs w:val="22"/>
          <w:lang w:val="fr-FR" w:eastAsia="en-US"/>
        </w:rPr>
        <w:t>.</w:t>
      </w:r>
      <w:r w:rsidRPr="00670028">
        <w:rPr>
          <w:rFonts w:ascii="Calibri" w:eastAsia="Times New Roman" w:hAnsi="Calibri" w:cs="Calibri"/>
          <w:i/>
          <w:iCs/>
          <w:color w:val="000000"/>
          <w:kern w:val="0"/>
          <w:sz w:val="22"/>
          <w:szCs w:val="22"/>
          <w:lang w:val="fr-FR" w:eastAsia="en-US"/>
        </w:rPr>
        <w:t>304,15 x 3, soit 21</w:t>
      </w:r>
      <w:r w:rsidR="00F83006">
        <w:rPr>
          <w:rFonts w:ascii="Calibri" w:eastAsia="Times New Roman" w:hAnsi="Calibri" w:cs="Calibri"/>
          <w:i/>
          <w:iCs/>
          <w:color w:val="000000"/>
          <w:kern w:val="0"/>
          <w:sz w:val="22"/>
          <w:szCs w:val="22"/>
          <w:lang w:val="fr-FR" w:eastAsia="en-US"/>
        </w:rPr>
        <w:t>.</w:t>
      </w:r>
      <w:r w:rsidRPr="00670028">
        <w:rPr>
          <w:rFonts w:ascii="Calibri" w:eastAsia="Times New Roman" w:hAnsi="Calibri" w:cs="Calibri"/>
          <w:i/>
          <w:iCs/>
          <w:color w:val="000000"/>
          <w:kern w:val="0"/>
          <w:sz w:val="22"/>
          <w:szCs w:val="22"/>
          <w:lang w:val="fr-FR" w:eastAsia="en-US"/>
        </w:rPr>
        <w:t>912,45</w:t>
      </w:r>
      <w:r w:rsidR="00F83006">
        <w:rPr>
          <w:rFonts w:ascii="Calibri" w:eastAsia="Times New Roman" w:hAnsi="Calibri" w:cs="Calibri"/>
          <w:i/>
          <w:iCs/>
          <w:color w:val="000000"/>
          <w:kern w:val="0"/>
          <w:sz w:val="22"/>
          <w:szCs w:val="22"/>
          <w:lang w:val="fr-FR" w:eastAsia="en-US"/>
        </w:rPr>
        <w:t> €</w:t>
      </w:r>
      <w:r w:rsidRPr="00670028">
        <w:rPr>
          <w:rFonts w:ascii="Calibri" w:eastAsia="Times New Roman" w:hAnsi="Calibri" w:cs="Calibri"/>
          <w:i/>
          <w:iCs/>
          <w:color w:val="000000"/>
          <w:kern w:val="0"/>
          <w:sz w:val="22"/>
          <w:szCs w:val="22"/>
          <w:lang w:val="fr-FR" w:eastAsia="en-US"/>
        </w:rPr>
        <w:t>.</w:t>
      </w:r>
      <w:r w:rsidR="00BD7FE3">
        <w:rPr>
          <w:rFonts w:ascii="Calibri" w:eastAsia="Times New Roman" w:hAnsi="Calibri" w:cs="Calibri"/>
          <w:i/>
          <w:iCs/>
          <w:color w:val="000000"/>
          <w:kern w:val="0"/>
          <w:sz w:val="22"/>
          <w:szCs w:val="22"/>
          <w:lang w:val="fr-FR" w:eastAsia="en-US"/>
        </w:rPr>
        <w:t> »</w:t>
      </w:r>
    </w:p>
    <w:p w14:paraId="76950876"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3.</w:t>
      </w:r>
    </w:p>
    <w:p w14:paraId="4E72A06F" w14:textId="3340B242"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La rémunération mensuelle de </w:t>
      </w:r>
      <w:r w:rsidR="00F83006">
        <w:rPr>
          <w:rFonts w:ascii="Calibri" w:eastAsia="Calibri" w:hAnsi="Calibri" w:cs="Calibri"/>
          <w:bCs/>
          <w:kern w:val="0"/>
          <w:sz w:val="22"/>
          <w:szCs w:val="22"/>
          <w:lang w:eastAsia="en-US"/>
        </w:rPr>
        <w:t>M</w:t>
      </w:r>
      <w:r w:rsidRPr="00670028">
        <w:rPr>
          <w:rFonts w:ascii="Calibri" w:eastAsia="Calibri" w:hAnsi="Calibri" w:cs="Calibri"/>
          <w:bCs/>
          <w:kern w:val="0"/>
          <w:sz w:val="22"/>
          <w:szCs w:val="22"/>
          <w:lang w:eastAsia="en-US"/>
        </w:rPr>
        <w:t xml:space="preserve">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est variable puisqu’il bénéficie de son salaire</w:t>
      </w:r>
      <w:r w:rsidR="00BD7FE3">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 xml:space="preserve"> ainsi que de commissions. L’indemnité de non-concurrence doit donc, en théorie, être calculée sur la base de la rémunération brute annuelle, c’est-à-dire perçue durant les 12 derniers mois précédant la fin du contrat de travail. </w:t>
      </w:r>
    </w:p>
    <w:p w14:paraId="1E81AF0C"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La société PROMAS dépose les fiches de paie de mai 2020 à avril 2021, ainsi que le décompte de sortie. </w:t>
      </w:r>
    </w:p>
    <w:p w14:paraId="70252856"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La rémunération brute annuelle peut être calculée en multipliant la dernière rémunération par 13,92 (la fiche de paie de décembre 2020 renseigne une prime de fin d’année) soit :</w:t>
      </w:r>
    </w:p>
    <w:p w14:paraId="5C89684C" w14:textId="24A0B2B1" w:rsidR="00670028" w:rsidRPr="00670028" w:rsidRDefault="00670028" w:rsidP="00670028">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Salaire imposable du mois de mars 2021 : 7</w:t>
      </w:r>
      <w:r w:rsidR="00F83006">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442,78 × 13,92 = 109</w:t>
      </w:r>
      <w:r w:rsidR="00F83006">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603,49</w:t>
      </w:r>
      <w:r w:rsidR="00F83006">
        <w:rPr>
          <w:rFonts w:ascii="Calibri" w:eastAsia="Calibri" w:hAnsi="Calibri" w:cs="Calibri"/>
          <w:bCs/>
          <w:kern w:val="0"/>
          <w:sz w:val="22"/>
          <w:szCs w:val="22"/>
          <w:lang w:eastAsia="en-US"/>
        </w:rPr>
        <w:t> €</w:t>
      </w:r>
    </w:p>
    <w:p w14:paraId="1E730B98" w14:textId="2D033EEF" w:rsidR="00670028" w:rsidRPr="00670028" w:rsidRDefault="00670028" w:rsidP="00670028">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Indemnité forfaire de non concurrence : 109</w:t>
      </w:r>
      <w:r w:rsidR="00F83006">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603,49 / 12 × 3 = 25</w:t>
      </w:r>
      <w:r w:rsidR="00F83006">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900,87</w:t>
      </w:r>
      <w:r w:rsidR="00F83006">
        <w:rPr>
          <w:rFonts w:ascii="Calibri" w:eastAsia="Calibri" w:hAnsi="Calibri" w:cs="Calibri"/>
          <w:bCs/>
          <w:kern w:val="0"/>
          <w:sz w:val="22"/>
          <w:szCs w:val="22"/>
          <w:lang w:eastAsia="en-US"/>
        </w:rPr>
        <w:t> €</w:t>
      </w:r>
    </w:p>
    <w:p w14:paraId="4ECB1F93" w14:textId="77777777" w:rsidR="00F83006" w:rsidRDefault="00F83006"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3E9093D8" w14:textId="305E2647" w:rsid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Le respect du </w:t>
      </w:r>
      <w:r w:rsidRPr="00BD7FE3">
        <w:rPr>
          <w:rFonts w:ascii="Calibri" w:eastAsia="Calibri" w:hAnsi="Calibri" w:cs="Calibri"/>
          <w:bCs/>
          <w:kern w:val="0"/>
          <w:sz w:val="22"/>
          <w:szCs w:val="22"/>
          <w:lang w:eastAsia="en-US"/>
        </w:rPr>
        <w:t>principe dispositif</w:t>
      </w:r>
      <w:r w:rsidRPr="00670028">
        <w:rPr>
          <w:rFonts w:ascii="Calibri" w:eastAsia="Calibri" w:hAnsi="Calibri" w:cs="Calibri"/>
          <w:bCs/>
          <w:kern w:val="0"/>
          <w:sz w:val="22"/>
          <w:szCs w:val="22"/>
          <w:lang w:eastAsia="en-US"/>
        </w:rPr>
        <w:t xml:space="preserve"> impose toutefois de limiter le montant de la condamnation à ce qui est réclamé par le demandeur, soit un montant de 23</w:t>
      </w:r>
      <w:r w:rsidR="00F83006">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963,3</w:t>
      </w:r>
      <w:r w:rsidR="00F83006">
        <w:rPr>
          <w:rFonts w:ascii="Calibri" w:eastAsia="Calibri" w:hAnsi="Calibri" w:cs="Calibri"/>
          <w:bCs/>
          <w:kern w:val="0"/>
          <w:sz w:val="22"/>
          <w:szCs w:val="22"/>
          <w:lang w:eastAsia="en-US"/>
        </w:rPr>
        <w:t>5 €</w:t>
      </w:r>
      <w:r w:rsidRPr="00670028">
        <w:rPr>
          <w:rFonts w:ascii="Calibri" w:eastAsia="Calibri" w:hAnsi="Calibri" w:cs="Calibri"/>
          <w:bCs/>
          <w:kern w:val="0"/>
          <w:sz w:val="22"/>
          <w:szCs w:val="22"/>
          <w:lang w:eastAsia="en-US"/>
        </w:rPr>
        <w:t xml:space="preserve">, à majorer des intérêts au taux légal dus à dater de la fin des relations contractuelles jusqu’au complet paiement. </w:t>
      </w:r>
    </w:p>
    <w:p w14:paraId="2EBE90D8" w14:textId="1DECBA0E" w:rsidR="00F83006" w:rsidRPr="00670028" w:rsidRDefault="00BD7FE3"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 xml:space="preserve">Monsieur </w:t>
      </w:r>
      <w:r w:rsidR="00AA321F">
        <w:rPr>
          <w:rFonts w:ascii="Calibri" w:eastAsia="Calibri" w:hAnsi="Calibri" w:cs="Calibri"/>
          <w:bCs/>
          <w:kern w:val="0"/>
          <w:sz w:val="22"/>
          <w:szCs w:val="22"/>
          <w:lang w:eastAsia="en-US"/>
        </w:rPr>
        <w:t>K</w:t>
      </w:r>
      <w:r>
        <w:rPr>
          <w:rFonts w:ascii="Calibri" w:eastAsia="Calibri" w:hAnsi="Calibri" w:cs="Calibri"/>
          <w:bCs/>
          <w:kern w:val="0"/>
          <w:sz w:val="22"/>
          <w:szCs w:val="22"/>
          <w:lang w:eastAsia="en-US"/>
        </w:rPr>
        <w:t xml:space="preserve"> est donc redevable d’une somme de 23 963,35 euros, à majorer des intérêts au taux légal, à titre d’indemnité forfaitaire de non-concurrence. </w:t>
      </w:r>
    </w:p>
    <w:p w14:paraId="4EBBCE4F" w14:textId="4893B5E0" w:rsidR="00525992"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4.</w:t>
      </w:r>
    </w:p>
    <w:p w14:paraId="3AE8DF79" w14:textId="524C7DA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 xml:space="preserve">Nonobstant la tierce complicité reconnue dans son chef, </w:t>
      </w:r>
      <w:r w:rsidR="00525992">
        <w:rPr>
          <w:rFonts w:ascii="Calibri" w:eastAsia="Calibri" w:hAnsi="Calibri" w:cs="Calibri"/>
          <w:bCs/>
          <w:kern w:val="0"/>
          <w:sz w:val="22"/>
          <w:szCs w:val="22"/>
          <w:lang w:val="fr-FR" w:eastAsia="en-US"/>
        </w:rPr>
        <w:t xml:space="preserve">se pose la question de savoir si </w:t>
      </w:r>
      <w:r w:rsidRPr="00670028">
        <w:rPr>
          <w:rFonts w:ascii="Calibri" w:eastAsia="Calibri" w:hAnsi="Calibri" w:cs="Calibri"/>
          <w:bCs/>
          <w:kern w:val="0"/>
          <w:sz w:val="22"/>
          <w:szCs w:val="22"/>
          <w:lang w:val="fr-FR" w:eastAsia="en-US"/>
        </w:rPr>
        <w:t xml:space="preserve">la société MLD CONCEPT </w:t>
      </w:r>
      <w:r w:rsidR="00525992">
        <w:rPr>
          <w:rFonts w:ascii="Calibri" w:eastAsia="Calibri" w:hAnsi="Calibri" w:cs="Calibri"/>
          <w:bCs/>
          <w:kern w:val="0"/>
          <w:sz w:val="22"/>
          <w:szCs w:val="22"/>
          <w:lang w:val="fr-FR" w:eastAsia="en-US"/>
        </w:rPr>
        <w:t>peut</w:t>
      </w:r>
      <w:r w:rsidRPr="00670028">
        <w:rPr>
          <w:rFonts w:ascii="Calibri" w:eastAsia="Calibri" w:hAnsi="Calibri" w:cs="Calibri"/>
          <w:bCs/>
          <w:kern w:val="0"/>
          <w:sz w:val="22"/>
          <w:szCs w:val="22"/>
          <w:lang w:val="fr-FR" w:eastAsia="en-US"/>
        </w:rPr>
        <w:t xml:space="preserve"> être tenue au paiement de l’indemnité forfaitaire de non-concurrence. En effet, </w:t>
      </w:r>
      <w:r w:rsidR="00525992">
        <w:rPr>
          <w:rFonts w:ascii="Calibri" w:eastAsia="Calibri" w:hAnsi="Calibri" w:cs="Calibri"/>
          <w:bCs/>
          <w:kern w:val="0"/>
          <w:sz w:val="22"/>
          <w:szCs w:val="22"/>
          <w:lang w:val="fr-FR" w:eastAsia="en-US"/>
        </w:rPr>
        <w:t>dans la mesure où i</w:t>
      </w:r>
      <w:r w:rsidRPr="00670028">
        <w:rPr>
          <w:rFonts w:ascii="Calibri" w:eastAsia="Calibri" w:hAnsi="Calibri" w:cs="Calibri"/>
          <w:bCs/>
          <w:kern w:val="0"/>
          <w:sz w:val="22"/>
          <w:szCs w:val="22"/>
          <w:lang w:val="fr-FR" w:eastAsia="en-US"/>
        </w:rPr>
        <w:t>l s’agit d’une indemnité contractuelle</w:t>
      </w:r>
      <w:r w:rsidR="00525992">
        <w:rPr>
          <w:rFonts w:ascii="Calibri" w:eastAsia="Calibri" w:hAnsi="Calibri" w:cs="Calibri"/>
          <w:bCs/>
          <w:kern w:val="0"/>
          <w:sz w:val="22"/>
          <w:szCs w:val="22"/>
          <w:lang w:val="fr-FR" w:eastAsia="en-US"/>
        </w:rPr>
        <w:t>, elle ne</w:t>
      </w:r>
      <w:r w:rsidRPr="00670028">
        <w:rPr>
          <w:rFonts w:ascii="Calibri" w:eastAsia="Calibri" w:hAnsi="Calibri" w:cs="Calibri"/>
          <w:bCs/>
          <w:kern w:val="0"/>
          <w:sz w:val="22"/>
          <w:szCs w:val="22"/>
          <w:lang w:val="fr-FR" w:eastAsia="en-US"/>
        </w:rPr>
        <w:t xml:space="preserve"> lie que les parties contractantes, en application du nouvel article 5.103 du Titre 5 du Code civil qui dispose :</w:t>
      </w:r>
    </w:p>
    <w:p w14:paraId="12D202D8" w14:textId="77777777" w:rsidR="00670028" w:rsidRPr="00670028" w:rsidRDefault="00670028" w:rsidP="00670028">
      <w:pPr>
        <w:widowControl/>
        <w:shd w:val="clear" w:color="auto" w:fill="FFFFFF"/>
        <w:suppressAutoHyphens w:val="0"/>
        <w:autoSpaceDN/>
        <w:ind w:left="708"/>
        <w:jc w:val="both"/>
        <w:textAlignment w:val="auto"/>
        <w:rPr>
          <w:rFonts w:ascii="Calibri" w:eastAsia="Times New Roman" w:hAnsi="Calibri" w:cs="Calibri"/>
          <w:i/>
          <w:iCs/>
          <w:color w:val="000000"/>
          <w:kern w:val="0"/>
          <w:sz w:val="22"/>
          <w:szCs w:val="22"/>
          <w:lang w:val="fr-FR" w:eastAsia="fr-FR"/>
        </w:rPr>
      </w:pPr>
      <w:r w:rsidRPr="00670028">
        <w:rPr>
          <w:rFonts w:ascii="Calibri" w:eastAsia="Times New Roman" w:hAnsi="Calibri" w:cs="Calibri"/>
          <w:i/>
          <w:iCs/>
          <w:color w:val="000000"/>
          <w:kern w:val="0"/>
          <w:sz w:val="22"/>
          <w:szCs w:val="22"/>
          <w:lang w:val="fr-FR" w:eastAsia="fr-FR"/>
        </w:rPr>
        <w:t xml:space="preserve">« Le contrat ne fait naître des obligations qu'entre les parties. Les tiers ne peuvent demander l'exécution d'une obligation contractuelle que si la loi le prévoit et dans le cas prévu à </w:t>
      </w:r>
      <w:r w:rsidRPr="00670028">
        <w:rPr>
          <w:rFonts w:ascii="Calibri" w:eastAsia="Times New Roman" w:hAnsi="Calibri" w:cs="Calibri"/>
          <w:i/>
          <w:iCs/>
          <w:color w:val="000000"/>
          <w:kern w:val="0"/>
          <w:sz w:val="22"/>
          <w:szCs w:val="22"/>
          <w:u w:val="single"/>
          <w:lang w:val="fr-FR" w:eastAsia="fr-FR"/>
        </w:rPr>
        <w:t>l'article 5.107</w:t>
      </w:r>
      <w:r w:rsidRPr="00670028">
        <w:rPr>
          <w:rFonts w:ascii="Calibri" w:eastAsia="Times New Roman" w:hAnsi="Calibri" w:cs="Calibri"/>
          <w:i/>
          <w:iCs/>
          <w:color w:val="000000"/>
          <w:kern w:val="0"/>
          <w:sz w:val="22"/>
          <w:szCs w:val="22"/>
          <w:lang w:val="fr-FR" w:eastAsia="fr-FR"/>
        </w:rPr>
        <w:t>.</w:t>
      </w:r>
    </w:p>
    <w:p w14:paraId="1DC3E2CD" w14:textId="77777777" w:rsidR="00670028" w:rsidRPr="00670028" w:rsidRDefault="00670028" w:rsidP="00670028">
      <w:pPr>
        <w:widowControl/>
        <w:shd w:val="clear" w:color="auto" w:fill="FFFFFF"/>
        <w:suppressAutoHyphens w:val="0"/>
        <w:autoSpaceDN/>
        <w:ind w:left="708"/>
        <w:jc w:val="both"/>
        <w:textAlignment w:val="auto"/>
        <w:rPr>
          <w:rFonts w:ascii="Fira Sans" w:eastAsia="Times New Roman" w:hAnsi="Fira Sans" w:cs="Times New Roman"/>
          <w:color w:val="000000"/>
          <w:kern w:val="0"/>
          <w:sz w:val="21"/>
          <w:szCs w:val="21"/>
          <w:lang w:val="fr-FR" w:eastAsia="fr-FR"/>
        </w:rPr>
      </w:pPr>
      <w:r w:rsidRPr="00670028">
        <w:rPr>
          <w:rFonts w:ascii="Calibri" w:eastAsia="Times New Roman" w:hAnsi="Calibri" w:cs="Calibri"/>
          <w:i/>
          <w:iCs/>
          <w:color w:val="000000"/>
          <w:kern w:val="0"/>
          <w:sz w:val="22"/>
          <w:szCs w:val="22"/>
          <w:lang w:val="fr-FR" w:eastAsia="fr-FR"/>
        </w:rPr>
        <w:t xml:space="preserve">Les tiers doivent reconnaître l'existence d'un contrat en tant que fait, tout comme ils peuvent en invoquer l'existence à leur avantage ». </w:t>
      </w:r>
    </w:p>
    <w:p w14:paraId="7EE08D23"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p>
    <w:p w14:paraId="1E31CCB4" w14:textId="77777777" w:rsidR="00F04E5E"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Cette disposition, qui réitère le principe de la relativité des conventions, fait</w:t>
      </w:r>
      <w:r w:rsidR="00F04E5E">
        <w:rPr>
          <w:rFonts w:ascii="Calibri" w:eastAsia="Calibri" w:hAnsi="Calibri" w:cs="Calibri"/>
          <w:bCs/>
          <w:kern w:val="0"/>
          <w:sz w:val="22"/>
          <w:szCs w:val="22"/>
          <w:lang w:val="fr-FR" w:eastAsia="en-US"/>
        </w:rPr>
        <w:t xml:space="preserve"> en théorie</w:t>
      </w:r>
      <w:r w:rsidRPr="00670028">
        <w:rPr>
          <w:rFonts w:ascii="Calibri" w:eastAsia="Calibri" w:hAnsi="Calibri" w:cs="Calibri"/>
          <w:bCs/>
          <w:kern w:val="0"/>
          <w:sz w:val="22"/>
          <w:szCs w:val="22"/>
          <w:lang w:val="fr-FR" w:eastAsia="en-US"/>
        </w:rPr>
        <w:t xml:space="preserve"> obstacle à la condamnation</w:t>
      </w:r>
      <w:r w:rsidR="00F04E5E">
        <w:rPr>
          <w:rFonts w:ascii="Calibri" w:eastAsia="Calibri" w:hAnsi="Calibri" w:cs="Calibri"/>
          <w:bCs/>
          <w:kern w:val="0"/>
          <w:sz w:val="22"/>
          <w:szCs w:val="22"/>
          <w:lang w:val="fr-FR" w:eastAsia="en-US"/>
        </w:rPr>
        <w:t xml:space="preserve"> </w:t>
      </w:r>
      <w:r w:rsidRPr="00670028">
        <w:rPr>
          <w:rFonts w:ascii="Calibri" w:eastAsia="Calibri" w:hAnsi="Calibri" w:cs="Calibri"/>
          <w:bCs/>
          <w:kern w:val="0"/>
          <w:sz w:val="22"/>
          <w:szCs w:val="22"/>
          <w:lang w:val="fr-FR" w:eastAsia="en-US"/>
        </w:rPr>
        <w:t xml:space="preserve">de la société MLD CONCEPT au paiement de l’indemnité conventionnelle. </w:t>
      </w:r>
    </w:p>
    <w:p w14:paraId="0793808A" w14:textId="7786E350" w:rsidR="00670028" w:rsidRPr="00670028" w:rsidRDefault="00F04E5E"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Pr>
          <w:rFonts w:ascii="Calibri" w:eastAsia="Calibri" w:hAnsi="Calibri" w:cs="Calibri"/>
          <w:bCs/>
          <w:kern w:val="0"/>
          <w:sz w:val="22"/>
          <w:szCs w:val="22"/>
          <w:lang w:val="fr-FR" w:eastAsia="en-US"/>
        </w:rPr>
        <w:t>C’est en ce sens qu’il a été écrit que l’indemnité forfaitaire contractuelle n’est pas opposable au tiers complice, tenu de réparer le préjudice subi du fait de la violation d’une clause de non concurrence par le cédant de parts sociales ; le bénéficiaire de la clause supportera dans ce cas la charge de la preuve d’un dommage en lien causal avec la faute subie</w:t>
      </w:r>
      <w:r>
        <w:rPr>
          <w:rStyle w:val="Appelnotedebasdep"/>
          <w:rFonts w:ascii="Calibri" w:eastAsia="Calibri" w:hAnsi="Calibri" w:cs="Calibri"/>
          <w:bCs/>
          <w:kern w:val="0"/>
          <w:sz w:val="22"/>
          <w:szCs w:val="22"/>
          <w:lang w:val="fr-FR" w:eastAsia="en-US"/>
        </w:rPr>
        <w:footnoteReference w:id="25"/>
      </w:r>
    </w:p>
    <w:p w14:paraId="568544DC" w14:textId="5B7D5D10" w:rsidR="00F83006"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670028">
        <w:rPr>
          <w:rFonts w:ascii="Calibri" w:eastAsia="Calibri" w:hAnsi="Calibri" w:cs="Calibri"/>
          <w:bCs/>
          <w:kern w:val="0"/>
          <w:sz w:val="22"/>
          <w:szCs w:val="22"/>
          <w:lang w:val="fr-FR" w:eastAsia="en-US"/>
        </w:rPr>
        <w:t>Par contre, une faute extracontractuelle ayant été reconnue dans son chef – la participation au non-respect de la clause de non-concurrence</w:t>
      </w:r>
      <w:r w:rsidR="00F83006">
        <w:rPr>
          <w:rFonts w:ascii="Calibri" w:eastAsia="Calibri" w:hAnsi="Calibri" w:cs="Calibri"/>
          <w:bCs/>
          <w:kern w:val="0"/>
          <w:sz w:val="22"/>
          <w:szCs w:val="22"/>
          <w:lang w:val="fr-FR" w:eastAsia="en-US"/>
        </w:rPr>
        <w:t xml:space="preserve"> </w:t>
      </w:r>
      <w:r w:rsidRPr="00670028">
        <w:rPr>
          <w:rFonts w:ascii="Calibri" w:eastAsia="Calibri" w:hAnsi="Calibri" w:cs="Calibri"/>
          <w:bCs/>
          <w:kern w:val="0"/>
          <w:sz w:val="22"/>
          <w:szCs w:val="22"/>
          <w:lang w:val="fr-FR" w:eastAsia="en-US"/>
        </w:rPr>
        <w:t xml:space="preserve">- la société MLD CONCEPT peut être condamnée à dédommager la société PROMAS, pour autant que cette dernière établisse un dommage réel, en lien causal avec la faute concernée. </w:t>
      </w:r>
    </w:p>
    <w:p w14:paraId="25A096CF" w14:textId="7BF40F61" w:rsidR="00F04E5E" w:rsidRDefault="00F04E5E" w:rsidP="00F04E5E">
      <w:pPr>
        <w:spacing w:line="295" w:lineRule="exact"/>
        <w:ind w:right="142"/>
        <w:jc w:val="both"/>
        <w:rPr>
          <w:rFonts w:asciiTheme="minorHAnsi" w:eastAsia="Tahoma" w:hAnsiTheme="minorHAnsi" w:cstheme="minorHAnsi"/>
          <w:color w:val="000000"/>
          <w:spacing w:val="9"/>
          <w:sz w:val="22"/>
          <w:szCs w:val="22"/>
          <w:lang w:val="fr-FR"/>
        </w:rPr>
      </w:pPr>
      <w:r>
        <w:rPr>
          <w:rFonts w:ascii="Calibri" w:eastAsia="Calibri" w:hAnsi="Calibri" w:cs="Calibri"/>
          <w:bCs/>
          <w:kern w:val="0"/>
          <w:sz w:val="22"/>
          <w:szCs w:val="22"/>
          <w:lang w:val="fr-FR" w:eastAsia="en-US"/>
        </w:rPr>
        <w:t>Dès lors</w:t>
      </w:r>
      <w:r w:rsidR="00525992">
        <w:rPr>
          <w:rFonts w:ascii="Calibri" w:eastAsia="Calibri" w:hAnsi="Calibri" w:cs="Calibri"/>
          <w:bCs/>
          <w:kern w:val="0"/>
          <w:sz w:val="22"/>
          <w:szCs w:val="22"/>
          <w:lang w:val="fr-FR" w:eastAsia="en-US"/>
        </w:rPr>
        <w:t>, c</w:t>
      </w:r>
      <w:r w:rsidR="00525992" w:rsidRPr="00525992">
        <w:rPr>
          <w:rFonts w:asciiTheme="minorHAnsi" w:eastAsia="Tahoma" w:hAnsiTheme="minorHAnsi" w:cstheme="minorHAnsi"/>
          <w:color w:val="000000"/>
          <w:spacing w:val="9"/>
          <w:sz w:val="22"/>
          <w:szCs w:val="22"/>
          <w:lang w:val="fr-FR"/>
        </w:rPr>
        <w:t>onformément aux principes qui gouvernent la réparation en ce domaine, le dommage pourra donner lieu à réparation pécuniaire</w:t>
      </w:r>
      <w:r w:rsidR="00525992">
        <w:rPr>
          <w:rFonts w:asciiTheme="minorHAnsi" w:eastAsia="Tahoma" w:hAnsiTheme="minorHAnsi" w:cstheme="minorHAnsi"/>
          <w:color w:val="000000"/>
          <w:spacing w:val="9"/>
          <w:sz w:val="22"/>
          <w:szCs w:val="22"/>
          <w:lang w:val="fr-FR"/>
        </w:rPr>
        <w:t> ; l</w:t>
      </w:r>
      <w:r w:rsidR="00525992" w:rsidRPr="00525992">
        <w:rPr>
          <w:rFonts w:asciiTheme="minorHAnsi" w:eastAsia="Tahoma" w:hAnsiTheme="minorHAnsi" w:cstheme="minorHAnsi"/>
          <w:color w:val="000000"/>
          <w:spacing w:val="9"/>
          <w:sz w:val="22"/>
          <w:szCs w:val="22"/>
          <w:lang w:val="fr-FR"/>
        </w:rPr>
        <w:t>e débiteur de l’obligation contractuelle et son tiers complice seront condamnés</w:t>
      </w:r>
      <w:r w:rsidR="00525992" w:rsidRPr="00525992">
        <w:rPr>
          <w:rFonts w:asciiTheme="minorHAnsi" w:eastAsia="Arial" w:hAnsiTheme="minorHAnsi" w:cstheme="minorHAnsi"/>
          <w:i/>
          <w:color w:val="000000"/>
          <w:spacing w:val="9"/>
          <w:sz w:val="22"/>
          <w:szCs w:val="22"/>
          <w:lang w:val="fr-FR"/>
        </w:rPr>
        <w:t xml:space="preserve"> in solidum </w:t>
      </w:r>
      <w:r w:rsidR="00525992" w:rsidRPr="00525992">
        <w:rPr>
          <w:rFonts w:asciiTheme="minorHAnsi" w:eastAsia="Tahoma" w:hAnsiTheme="minorHAnsi" w:cstheme="minorHAnsi"/>
          <w:color w:val="000000"/>
          <w:spacing w:val="9"/>
          <w:sz w:val="22"/>
          <w:szCs w:val="22"/>
          <w:lang w:val="fr-FR"/>
        </w:rPr>
        <w:t>au paiement de ces dommages et intérêts</w:t>
      </w:r>
      <w:r w:rsidR="00525992">
        <w:rPr>
          <w:rStyle w:val="Appelnotedebasdep"/>
          <w:rFonts w:asciiTheme="minorHAnsi" w:eastAsia="Tahoma" w:hAnsiTheme="minorHAnsi" w:cstheme="minorHAnsi"/>
          <w:color w:val="000000"/>
          <w:spacing w:val="9"/>
          <w:sz w:val="22"/>
          <w:szCs w:val="22"/>
          <w:lang w:val="fr-FR"/>
        </w:rPr>
        <w:footnoteReference w:id="26"/>
      </w:r>
      <w:r w:rsidR="00525992" w:rsidRPr="00525992">
        <w:rPr>
          <w:rFonts w:asciiTheme="minorHAnsi" w:eastAsia="Tahoma" w:hAnsiTheme="minorHAnsi" w:cstheme="minorHAnsi"/>
          <w:color w:val="000000"/>
          <w:spacing w:val="9"/>
          <w:sz w:val="22"/>
          <w:szCs w:val="22"/>
          <w:lang w:val="fr-FR"/>
        </w:rPr>
        <w:t>.</w:t>
      </w:r>
    </w:p>
    <w:p w14:paraId="22A25C1A" w14:textId="77777777" w:rsidR="00F04E5E" w:rsidRPr="00F04E5E" w:rsidRDefault="00F04E5E" w:rsidP="00F04E5E">
      <w:pPr>
        <w:jc w:val="both"/>
        <w:rPr>
          <w:rFonts w:asciiTheme="minorHAnsi" w:hAnsiTheme="minorHAnsi" w:cstheme="minorHAnsi"/>
          <w:lang w:val="fr-FR"/>
        </w:rPr>
      </w:pPr>
    </w:p>
    <w:p w14:paraId="4398607A" w14:textId="2C73468E" w:rsidR="00F04E5E" w:rsidRPr="00F04E5E" w:rsidRDefault="00F04E5E" w:rsidP="00F04E5E">
      <w:pPr>
        <w:jc w:val="both"/>
        <w:rPr>
          <w:rFonts w:asciiTheme="minorHAnsi" w:hAnsiTheme="minorHAnsi" w:cstheme="minorHAnsi"/>
          <w:sz w:val="22"/>
          <w:szCs w:val="22"/>
          <w:lang w:val="fr-FR"/>
        </w:rPr>
      </w:pPr>
      <w:r w:rsidRPr="00F04E5E">
        <w:rPr>
          <w:rFonts w:asciiTheme="minorHAnsi" w:hAnsiTheme="minorHAnsi" w:cstheme="minorHAnsi"/>
          <w:sz w:val="22"/>
          <w:szCs w:val="22"/>
          <w:lang w:val="fr-FR"/>
        </w:rPr>
        <w:t xml:space="preserve">La S.R.L. MLD a </w:t>
      </w:r>
      <w:r w:rsidRPr="00F04E5E">
        <w:rPr>
          <w:rFonts w:asciiTheme="minorHAnsi" w:eastAsia="Arial" w:hAnsiTheme="minorHAnsi" w:cstheme="minorHAnsi"/>
          <w:bCs/>
          <w:sz w:val="22"/>
          <w:szCs w:val="22"/>
          <w:lang w:val="fr-FR"/>
        </w:rPr>
        <w:t>participé à la violation</w:t>
      </w:r>
      <w:r w:rsidRPr="00F04E5E">
        <w:rPr>
          <w:rFonts w:asciiTheme="minorHAnsi" w:hAnsiTheme="minorHAnsi" w:cstheme="minorHAnsi"/>
          <w:sz w:val="22"/>
          <w:szCs w:val="22"/>
          <w:lang w:val="fr-FR"/>
        </w:rPr>
        <w:t xml:space="preserve">, par Monsieur </w:t>
      </w:r>
      <w:r w:rsidR="00AA321F">
        <w:rPr>
          <w:rFonts w:asciiTheme="minorHAnsi" w:hAnsiTheme="minorHAnsi" w:cstheme="minorHAnsi"/>
          <w:sz w:val="22"/>
          <w:szCs w:val="22"/>
          <w:lang w:val="fr-FR"/>
        </w:rPr>
        <w:t>K</w:t>
      </w:r>
      <w:r w:rsidRPr="00F04E5E">
        <w:rPr>
          <w:rFonts w:asciiTheme="minorHAnsi" w:hAnsiTheme="minorHAnsi" w:cstheme="minorHAnsi"/>
          <w:sz w:val="22"/>
          <w:szCs w:val="22"/>
          <w:lang w:val="fr-FR"/>
        </w:rPr>
        <w:t xml:space="preserve">, de ses obligations contractuelles à l’égard de la S.A. PROMAS, en l’engageant en qualité de représentant de commerce alors qu’il était tenu par une clause de non-concurrence. </w:t>
      </w:r>
    </w:p>
    <w:p w14:paraId="537268EF" w14:textId="77777777" w:rsidR="00F04E5E" w:rsidRPr="00F04E5E" w:rsidRDefault="00F04E5E" w:rsidP="00F04E5E">
      <w:pPr>
        <w:jc w:val="both"/>
        <w:rPr>
          <w:rFonts w:asciiTheme="minorHAnsi" w:hAnsiTheme="minorHAnsi" w:cstheme="minorHAnsi"/>
          <w:sz w:val="22"/>
          <w:szCs w:val="22"/>
          <w:lang w:val="fr-FR"/>
        </w:rPr>
      </w:pPr>
    </w:p>
    <w:p w14:paraId="124450A4" w14:textId="3F96BCEE" w:rsidR="00F04E5E" w:rsidRDefault="00F04E5E" w:rsidP="00F04E5E">
      <w:pPr>
        <w:jc w:val="both"/>
        <w:rPr>
          <w:rFonts w:asciiTheme="minorHAnsi" w:hAnsiTheme="minorHAnsi" w:cstheme="minorHAnsi"/>
          <w:spacing w:val="6"/>
          <w:sz w:val="22"/>
          <w:szCs w:val="22"/>
          <w:lang w:val="fr-FR"/>
        </w:rPr>
      </w:pPr>
      <w:r w:rsidRPr="00F04E5E">
        <w:rPr>
          <w:rFonts w:asciiTheme="minorHAnsi" w:hAnsiTheme="minorHAnsi" w:cstheme="minorHAnsi"/>
          <w:sz w:val="22"/>
          <w:szCs w:val="22"/>
          <w:lang w:val="fr-FR"/>
        </w:rPr>
        <w:t xml:space="preserve">Puisqu’il n’est pas </w:t>
      </w:r>
      <w:r w:rsidRPr="00F04E5E">
        <w:rPr>
          <w:rFonts w:asciiTheme="minorHAnsi" w:hAnsiTheme="minorHAnsi" w:cstheme="minorHAnsi"/>
          <w:spacing w:val="6"/>
          <w:sz w:val="22"/>
          <w:szCs w:val="22"/>
          <w:lang w:val="fr-FR"/>
        </w:rPr>
        <w:t>requis que l’action dirigée contre le tiers complice concerne un dommage autre que celui qui résulte de la rupture de contrat</w:t>
      </w:r>
      <w:r w:rsidRPr="00F04E5E">
        <w:rPr>
          <w:rStyle w:val="Appelnotedebasdep"/>
          <w:rFonts w:asciiTheme="minorHAnsi" w:eastAsia="Tahoma" w:hAnsiTheme="minorHAnsi" w:cstheme="minorHAnsi"/>
          <w:color w:val="000000"/>
          <w:spacing w:val="6"/>
          <w:sz w:val="22"/>
          <w:szCs w:val="22"/>
          <w:lang w:val="fr-FR"/>
        </w:rPr>
        <w:footnoteReference w:id="27"/>
      </w:r>
      <w:r w:rsidRPr="00F04E5E">
        <w:rPr>
          <w:rFonts w:asciiTheme="minorHAnsi" w:hAnsiTheme="minorHAnsi" w:cstheme="minorHAnsi"/>
          <w:spacing w:val="6"/>
          <w:sz w:val="22"/>
          <w:szCs w:val="22"/>
          <w:lang w:val="fr-FR"/>
        </w:rPr>
        <w:t xml:space="preserve">, </w:t>
      </w:r>
      <w:r>
        <w:rPr>
          <w:rFonts w:asciiTheme="minorHAnsi" w:hAnsiTheme="minorHAnsi" w:cstheme="minorHAnsi"/>
          <w:spacing w:val="6"/>
          <w:sz w:val="22"/>
          <w:szCs w:val="22"/>
          <w:lang w:val="fr-FR"/>
        </w:rPr>
        <w:t xml:space="preserve">il y a lieu de prononcer la condamnation in solidum de monsieur </w:t>
      </w:r>
      <w:r w:rsidR="00AA321F">
        <w:rPr>
          <w:rFonts w:asciiTheme="minorHAnsi" w:hAnsiTheme="minorHAnsi" w:cstheme="minorHAnsi"/>
          <w:spacing w:val="6"/>
          <w:sz w:val="22"/>
          <w:szCs w:val="22"/>
          <w:lang w:val="fr-FR"/>
        </w:rPr>
        <w:t>K</w:t>
      </w:r>
      <w:r>
        <w:rPr>
          <w:rFonts w:asciiTheme="minorHAnsi" w:hAnsiTheme="minorHAnsi" w:cstheme="minorHAnsi"/>
          <w:spacing w:val="6"/>
          <w:sz w:val="22"/>
          <w:szCs w:val="22"/>
          <w:lang w:val="fr-FR"/>
        </w:rPr>
        <w:t xml:space="preserve"> et de la S.RL. MLD CONCEPT au paiement de la somme de 23 963,35 euros.</w:t>
      </w:r>
    </w:p>
    <w:p w14:paraId="6F31F55F" w14:textId="77777777" w:rsidR="00F04E5E" w:rsidRPr="00F04E5E" w:rsidRDefault="00F04E5E" w:rsidP="00F04E5E">
      <w:pPr>
        <w:jc w:val="both"/>
        <w:rPr>
          <w:rFonts w:asciiTheme="minorHAnsi" w:eastAsia="Tahoma" w:hAnsiTheme="minorHAnsi" w:cstheme="minorHAnsi"/>
          <w:color w:val="000000"/>
          <w:spacing w:val="9"/>
          <w:sz w:val="22"/>
          <w:szCs w:val="22"/>
          <w:lang w:val="fr-FR"/>
        </w:rPr>
      </w:pPr>
    </w:p>
    <w:p w14:paraId="4122848E" w14:textId="0C07F34A" w:rsidR="00670028" w:rsidRPr="005434F3" w:rsidRDefault="00670028" w:rsidP="005434F3">
      <w:pPr>
        <w:pStyle w:val="Paragraphedeliste"/>
        <w:widowControl/>
        <w:numPr>
          <w:ilvl w:val="1"/>
          <w:numId w:val="8"/>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5434F3">
        <w:rPr>
          <w:rFonts w:ascii="Calibri" w:eastAsia="Calibri" w:hAnsi="Calibri" w:cs="Calibri"/>
          <w:b/>
          <w:kern w:val="0"/>
          <w:sz w:val="22"/>
          <w:szCs w:val="22"/>
          <w:u w:val="single"/>
          <w:lang w:eastAsia="en-US"/>
        </w:rPr>
        <w:t xml:space="preserve">L’étendue du dommage </w:t>
      </w:r>
      <w:r w:rsidR="00F04E5E">
        <w:rPr>
          <w:rFonts w:ascii="Calibri" w:eastAsia="Calibri" w:hAnsi="Calibri" w:cs="Calibri"/>
          <w:b/>
          <w:kern w:val="0"/>
          <w:sz w:val="22"/>
          <w:szCs w:val="22"/>
          <w:u w:val="single"/>
          <w:lang w:eastAsia="en-US"/>
        </w:rPr>
        <w:t xml:space="preserve">réel, </w:t>
      </w:r>
      <w:r w:rsidRPr="005434F3">
        <w:rPr>
          <w:rFonts w:ascii="Calibri" w:eastAsia="Calibri" w:hAnsi="Calibri" w:cs="Calibri"/>
          <w:b/>
          <w:kern w:val="0"/>
          <w:sz w:val="22"/>
          <w:szCs w:val="22"/>
          <w:u w:val="single"/>
          <w:lang w:eastAsia="en-US"/>
        </w:rPr>
        <w:t>allégué par la société PROMAS</w:t>
      </w:r>
      <w:r w:rsidR="00F04E5E">
        <w:rPr>
          <w:rFonts w:ascii="Calibri" w:eastAsia="Calibri" w:hAnsi="Calibri" w:cs="Calibri"/>
          <w:b/>
          <w:kern w:val="0"/>
          <w:sz w:val="22"/>
          <w:szCs w:val="22"/>
          <w:u w:val="single"/>
          <w:lang w:eastAsia="en-US"/>
        </w:rPr>
        <w:t>,</w:t>
      </w:r>
      <w:r w:rsidRPr="005434F3">
        <w:rPr>
          <w:rFonts w:ascii="Calibri" w:eastAsia="Calibri" w:hAnsi="Calibri" w:cs="Calibri"/>
          <w:b/>
          <w:kern w:val="0"/>
          <w:sz w:val="22"/>
          <w:szCs w:val="22"/>
          <w:u w:val="single"/>
          <w:lang w:eastAsia="en-US"/>
        </w:rPr>
        <w:t xml:space="preserve"> à l’égard de la société MLD CONCEPT </w:t>
      </w:r>
    </w:p>
    <w:p w14:paraId="6444064A" w14:textId="77777777" w:rsidR="00670028" w:rsidRPr="00670028" w:rsidRDefault="00670028" w:rsidP="00670028">
      <w:pPr>
        <w:widowControl/>
        <w:suppressAutoHyphens w:val="0"/>
        <w:autoSpaceDN/>
        <w:spacing w:after="160" w:line="256" w:lineRule="auto"/>
        <w:ind w:left="1440"/>
        <w:contextualSpacing/>
        <w:jc w:val="both"/>
        <w:textAlignment w:val="auto"/>
        <w:rPr>
          <w:rFonts w:ascii="Calibri" w:eastAsia="Calibri" w:hAnsi="Calibri" w:cs="Calibri"/>
          <w:b/>
          <w:kern w:val="0"/>
          <w:sz w:val="22"/>
          <w:szCs w:val="22"/>
          <w:u w:val="single"/>
          <w:lang w:eastAsia="en-US"/>
        </w:rPr>
      </w:pPr>
    </w:p>
    <w:p w14:paraId="20B22265" w14:textId="5729AA4F" w:rsidR="00670028" w:rsidRDefault="00670028" w:rsidP="00670028">
      <w:pPr>
        <w:widowControl/>
        <w:numPr>
          <w:ilvl w:val="0"/>
          <w:numId w:val="13"/>
        </w:numPr>
        <w:suppressAutoHyphens w:val="0"/>
        <w:autoSpaceDN/>
        <w:spacing w:after="160" w:line="256" w:lineRule="auto"/>
        <w:contextualSpacing/>
        <w:jc w:val="both"/>
        <w:textAlignment w:val="auto"/>
        <w:rPr>
          <w:rFonts w:ascii="Calibri" w:eastAsia="Calibri" w:hAnsi="Calibri" w:cs="Calibri"/>
          <w:bCs/>
          <w:kern w:val="0"/>
          <w:sz w:val="22"/>
          <w:szCs w:val="22"/>
          <w:u w:val="single"/>
          <w:lang w:eastAsia="en-US"/>
        </w:rPr>
      </w:pPr>
      <w:r w:rsidRPr="00670028">
        <w:rPr>
          <w:rFonts w:ascii="Calibri" w:eastAsia="Calibri" w:hAnsi="Calibri" w:cs="Calibri"/>
          <w:bCs/>
          <w:kern w:val="0"/>
          <w:sz w:val="22"/>
          <w:szCs w:val="22"/>
          <w:u w:val="single"/>
          <w:lang w:eastAsia="en-US"/>
        </w:rPr>
        <w:t>L’objet de la demande</w:t>
      </w:r>
    </w:p>
    <w:p w14:paraId="74778D6F" w14:textId="77777777" w:rsidR="00F83006" w:rsidRPr="00670028" w:rsidRDefault="00F83006" w:rsidP="00F83006">
      <w:pPr>
        <w:widowControl/>
        <w:suppressAutoHyphens w:val="0"/>
        <w:autoSpaceDN/>
        <w:spacing w:after="160" w:line="256" w:lineRule="auto"/>
        <w:ind w:left="720"/>
        <w:contextualSpacing/>
        <w:jc w:val="both"/>
        <w:textAlignment w:val="auto"/>
        <w:rPr>
          <w:rFonts w:ascii="Calibri" w:eastAsia="Calibri" w:hAnsi="Calibri" w:cs="Calibri"/>
          <w:bCs/>
          <w:kern w:val="0"/>
          <w:sz w:val="22"/>
          <w:szCs w:val="22"/>
          <w:u w:val="single"/>
          <w:lang w:eastAsia="en-US"/>
        </w:rPr>
      </w:pPr>
    </w:p>
    <w:p w14:paraId="6CDE4A8A" w14:textId="282E3A64"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La société PROMAS sollicite la condamnation des parties défenderesses à l’indemnité forfaitaire conventionnelle mais également à la somme d’un euro provisionnel pour les « dommages et intérêt correspondant</w:t>
      </w:r>
      <w:r w:rsidR="005434F3">
        <w:rPr>
          <w:rFonts w:ascii="Calibri" w:eastAsia="Calibri" w:hAnsi="Calibri" w:cs="Calibri"/>
          <w:bCs/>
          <w:kern w:val="0"/>
          <w:sz w:val="22"/>
          <w:szCs w:val="22"/>
          <w:lang w:eastAsia="en-US"/>
        </w:rPr>
        <w:t>s</w:t>
      </w:r>
      <w:r w:rsidRPr="00670028">
        <w:rPr>
          <w:rFonts w:ascii="Calibri" w:eastAsia="Calibri" w:hAnsi="Calibri" w:cs="Calibri"/>
          <w:bCs/>
          <w:kern w:val="0"/>
          <w:sz w:val="22"/>
          <w:szCs w:val="22"/>
          <w:lang w:eastAsia="en-US"/>
        </w:rPr>
        <w:t xml:space="preserve"> au préjudice réellement subi par elle ensuite de la violation par </w:t>
      </w:r>
      <w:r w:rsidR="00F83006">
        <w:rPr>
          <w:rFonts w:ascii="Calibri" w:eastAsia="Calibri" w:hAnsi="Calibri" w:cs="Calibri"/>
          <w:bCs/>
          <w:kern w:val="0"/>
          <w:sz w:val="22"/>
          <w:szCs w:val="22"/>
          <w:lang w:eastAsia="en-US"/>
        </w:rPr>
        <w:t>M</w:t>
      </w:r>
      <w:r w:rsidRPr="00670028">
        <w:rPr>
          <w:rFonts w:ascii="Calibri" w:eastAsia="Calibri" w:hAnsi="Calibri" w:cs="Calibri"/>
          <w:bCs/>
          <w:kern w:val="0"/>
          <w:sz w:val="22"/>
          <w:szCs w:val="22"/>
          <w:lang w:eastAsia="en-US"/>
        </w:rPr>
        <w:t>onsieur</w:t>
      </w:r>
      <w:r w:rsidR="00F83006">
        <w:rPr>
          <w:rFonts w:ascii="Calibri" w:eastAsia="Calibri" w:hAnsi="Calibri" w:cs="Calibri"/>
          <w:bCs/>
          <w:kern w:val="0"/>
          <w:sz w:val="22"/>
          <w:szCs w:val="22"/>
          <w:lang w:eastAsia="en-US"/>
        </w:rPr>
        <w:t>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de la violation de la clause de non concurrence ».</w:t>
      </w:r>
    </w:p>
    <w:p w14:paraId="26DE85C6"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Or, il a été jugé qu’un cumul entre l’indemnité forfaitaire contractuelle et l’indemnité pour préjudice réel n’est pas autorisé</w:t>
      </w:r>
      <w:r w:rsidRPr="00670028">
        <w:rPr>
          <w:rFonts w:ascii="Calibri" w:eastAsia="Calibri" w:hAnsi="Calibri" w:cs="Calibri"/>
          <w:bCs/>
          <w:kern w:val="0"/>
          <w:sz w:val="22"/>
          <w:szCs w:val="22"/>
          <w:vertAlign w:val="superscript"/>
          <w:lang w:eastAsia="en-US"/>
        </w:rPr>
        <w:footnoteReference w:id="28"/>
      </w:r>
      <w:r w:rsidRPr="00670028">
        <w:rPr>
          <w:rFonts w:ascii="Calibri" w:eastAsia="Calibri" w:hAnsi="Calibri" w:cs="Calibri"/>
          <w:bCs/>
          <w:kern w:val="0"/>
          <w:sz w:val="22"/>
          <w:szCs w:val="22"/>
          <w:lang w:eastAsia="en-US"/>
        </w:rPr>
        <w:t> ; l’employeur renonce au bénéfice de la clause pénale stipulée dans le contrat lorsqu’il choisit la voie de la réparation intégrale</w:t>
      </w:r>
      <w:r w:rsidRPr="00670028">
        <w:rPr>
          <w:rFonts w:ascii="Calibri" w:eastAsia="Calibri" w:hAnsi="Calibri" w:cs="Calibri"/>
          <w:bCs/>
          <w:kern w:val="0"/>
          <w:sz w:val="22"/>
          <w:szCs w:val="22"/>
          <w:vertAlign w:val="superscript"/>
          <w:lang w:eastAsia="en-US"/>
        </w:rPr>
        <w:footnoteReference w:id="29"/>
      </w:r>
      <w:r w:rsidRPr="00670028">
        <w:rPr>
          <w:rFonts w:ascii="Calibri" w:eastAsia="Calibri" w:hAnsi="Calibri" w:cs="Calibri"/>
          <w:bCs/>
          <w:kern w:val="0"/>
          <w:sz w:val="22"/>
          <w:szCs w:val="22"/>
          <w:lang w:eastAsia="en-US"/>
        </w:rPr>
        <w:t xml:space="preserve">. </w:t>
      </w:r>
    </w:p>
    <w:p w14:paraId="41BEB74D" w14:textId="04AABDFE"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Dès lors, cette demande de condamnation n’est pas recevable en ce qu’elle est dirigée contre </w:t>
      </w:r>
      <w:r w:rsidR="00F83006">
        <w:rPr>
          <w:rFonts w:ascii="Calibri" w:eastAsia="Calibri" w:hAnsi="Calibri" w:cs="Calibri"/>
          <w:bCs/>
          <w:kern w:val="0"/>
          <w:sz w:val="22"/>
          <w:szCs w:val="22"/>
          <w:lang w:eastAsia="en-US"/>
        </w:rPr>
        <w:t>M</w:t>
      </w:r>
      <w:r w:rsidRPr="00670028">
        <w:rPr>
          <w:rFonts w:ascii="Calibri" w:eastAsia="Calibri" w:hAnsi="Calibri" w:cs="Calibri"/>
          <w:bCs/>
          <w:kern w:val="0"/>
          <w:sz w:val="22"/>
          <w:szCs w:val="22"/>
          <w:lang w:eastAsia="en-US"/>
        </w:rPr>
        <w:t xml:space="preserve">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 seule l’indemnité forfaitaire contractuelle est due</w:t>
      </w:r>
      <w:r w:rsidR="005434F3">
        <w:rPr>
          <w:rFonts w:ascii="Calibri" w:eastAsia="Calibri" w:hAnsi="Calibri" w:cs="Calibri"/>
          <w:bCs/>
          <w:kern w:val="0"/>
          <w:sz w:val="22"/>
          <w:szCs w:val="22"/>
          <w:lang w:eastAsia="en-US"/>
        </w:rPr>
        <w:t xml:space="preserve"> par lui. </w:t>
      </w:r>
    </w:p>
    <w:p w14:paraId="4C8ACB8E" w14:textId="1CBD54EB" w:rsidR="00670028"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La société PROMAS est par contre recevable à solliciter la condamnation de la société MLD CONCEPT à une indemnisation pour le dommage intégral engendré par sa faute, à savoir la participation à la violation de la clause de non concurrence.</w:t>
      </w:r>
    </w:p>
    <w:p w14:paraId="20CD7506" w14:textId="5156B73B" w:rsidR="00F83006" w:rsidRP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La </w:t>
      </w:r>
      <w:r w:rsidR="00D34BB3">
        <w:rPr>
          <w:rFonts w:ascii="Calibri" w:eastAsia="Calibri" w:hAnsi="Calibri" w:cs="Calibri"/>
          <w:bCs/>
          <w:kern w:val="0"/>
          <w:sz w:val="22"/>
          <w:szCs w:val="22"/>
          <w:lang w:eastAsia="en-US"/>
        </w:rPr>
        <w:t xml:space="preserve">tierce complicité ayant été retenue dans le chef de la société MLD CONCEPT, la </w:t>
      </w:r>
      <w:r w:rsidRPr="00670028">
        <w:rPr>
          <w:rFonts w:ascii="Calibri" w:eastAsia="Calibri" w:hAnsi="Calibri" w:cs="Calibri"/>
          <w:bCs/>
          <w:kern w:val="0"/>
          <w:sz w:val="22"/>
          <w:szCs w:val="22"/>
          <w:lang w:eastAsia="en-US"/>
        </w:rPr>
        <w:t xml:space="preserve">faute </w:t>
      </w:r>
      <w:r w:rsidR="00D34BB3">
        <w:rPr>
          <w:rFonts w:ascii="Calibri" w:eastAsia="Calibri" w:hAnsi="Calibri" w:cs="Calibri"/>
          <w:bCs/>
          <w:kern w:val="0"/>
          <w:sz w:val="22"/>
          <w:szCs w:val="22"/>
          <w:lang w:eastAsia="en-US"/>
        </w:rPr>
        <w:t>est</w:t>
      </w:r>
      <w:r w:rsidRPr="00670028">
        <w:rPr>
          <w:rFonts w:ascii="Calibri" w:eastAsia="Calibri" w:hAnsi="Calibri" w:cs="Calibri"/>
          <w:bCs/>
          <w:kern w:val="0"/>
          <w:sz w:val="22"/>
          <w:szCs w:val="22"/>
          <w:lang w:eastAsia="en-US"/>
        </w:rPr>
        <w:t xml:space="preserve"> établie</w:t>
      </w:r>
      <w:r w:rsidR="00D34BB3">
        <w:rPr>
          <w:rFonts w:ascii="Calibri" w:eastAsia="Calibri" w:hAnsi="Calibri" w:cs="Calibri"/>
          <w:bCs/>
          <w:kern w:val="0"/>
          <w:sz w:val="22"/>
          <w:szCs w:val="22"/>
          <w:lang w:eastAsia="en-US"/>
        </w:rPr>
        <w:t xml:space="preserve"> </w:t>
      </w:r>
      <w:r w:rsidRPr="00670028">
        <w:rPr>
          <w:rFonts w:ascii="Calibri" w:eastAsia="Calibri" w:hAnsi="Calibri" w:cs="Calibri"/>
          <w:bCs/>
          <w:kern w:val="0"/>
          <w:sz w:val="22"/>
          <w:szCs w:val="22"/>
          <w:lang w:eastAsia="en-US"/>
        </w:rPr>
        <w:t>, il lui revient de déterminer le dommage.</w:t>
      </w:r>
    </w:p>
    <w:p w14:paraId="0DDCC04A" w14:textId="38FCAC40" w:rsidR="00670028" w:rsidRPr="00670028" w:rsidRDefault="00670028" w:rsidP="00670028">
      <w:pPr>
        <w:widowControl/>
        <w:numPr>
          <w:ilvl w:val="0"/>
          <w:numId w:val="13"/>
        </w:numPr>
        <w:suppressAutoHyphens w:val="0"/>
        <w:autoSpaceDN/>
        <w:spacing w:after="160" w:line="256" w:lineRule="auto"/>
        <w:contextualSpacing/>
        <w:jc w:val="both"/>
        <w:textAlignment w:val="auto"/>
        <w:rPr>
          <w:rFonts w:ascii="Calibri" w:eastAsia="Calibri" w:hAnsi="Calibri" w:cs="Calibri"/>
          <w:bCs/>
          <w:kern w:val="0"/>
          <w:sz w:val="22"/>
          <w:szCs w:val="22"/>
          <w:u w:val="single"/>
          <w:lang w:eastAsia="en-US"/>
        </w:rPr>
      </w:pPr>
      <w:r w:rsidRPr="00670028">
        <w:rPr>
          <w:rFonts w:ascii="Calibri" w:eastAsia="Calibri" w:hAnsi="Calibri" w:cs="Calibri"/>
          <w:bCs/>
          <w:kern w:val="0"/>
          <w:sz w:val="22"/>
          <w:szCs w:val="22"/>
          <w:u w:val="single"/>
          <w:lang w:eastAsia="en-US"/>
        </w:rPr>
        <w:t xml:space="preserve">La </w:t>
      </w:r>
      <w:r w:rsidR="006D25C7">
        <w:rPr>
          <w:rFonts w:ascii="Calibri" w:eastAsia="Calibri" w:hAnsi="Calibri" w:cs="Calibri"/>
          <w:bCs/>
          <w:kern w:val="0"/>
          <w:sz w:val="22"/>
          <w:szCs w:val="22"/>
          <w:u w:val="single"/>
          <w:lang w:eastAsia="en-US"/>
        </w:rPr>
        <w:t>régularité</w:t>
      </w:r>
      <w:r w:rsidRPr="00670028">
        <w:rPr>
          <w:rFonts w:ascii="Calibri" w:eastAsia="Calibri" w:hAnsi="Calibri" w:cs="Calibri"/>
          <w:bCs/>
          <w:kern w:val="0"/>
          <w:sz w:val="22"/>
          <w:szCs w:val="22"/>
          <w:u w:val="single"/>
          <w:lang w:eastAsia="en-US"/>
        </w:rPr>
        <w:t xml:space="preserve"> des preuves produites par la société PROMAS</w:t>
      </w:r>
    </w:p>
    <w:p w14:paraId="68C9918D" w14:textId="358F69AF" w:rsidR="00670028" w:rsidRDefault="00670028" w:rsidP="00670028">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406FBA8F" w14:textId="77777777" w:rsidR="006D25C7" w:rsidRDefault="006D25C7" w:rsidP="006D25C7">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Pr>
          <w:rFonts w:ascii="Calibri" w:eastAsia="Times New Roman" w:hAnsi="Calibri" w:cs="Calibri"/>
          <w:color w:val="000000"/>
          <w:kern w:val="0"/>
          <w:sz w:val="22"/>
          <w:szCs w:val="22"/>
          <w:lang w:val="fr-FR" w:eastAsia="en-US"/>
        </w:rPr>
        <w:t>a.</w:t>
      </w:r>
    </w:p>
    <w:p w14:paraId="0B13C29D" w14:textId="21973241" w:rsidR="006D25C7" w:rsidRPr="00670028" w:rsidRDefault="006D25C7" w:rsidP="006D25C7">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Le contrôle des données de communication électronique en réseau par l’employeur est soumis aux obligations issues du Règlement général pour la protection des données. Plus spécifiquement, en droit du travail, par la Convention collective n°81</w:t>
      </w:r>
      <w:r>
        <w:rPr>
          <w:rFonts w:ascii="Calibri" w:eastAsia="Times New Roman" w:hAnsi="Calibri" w:cs="Calibri"/>
          <w:color w:val="000000"/>
          <w:kern w:val="0"/>
          <w:sz w:val="22"/>
          <w:szCs w:val="22"/>
          <w:lang w:val="fr-FR" w:eastAsia="en-US"/>
        </w:rPr>
        <w:t xml:space="preserve"> sur le contrôle des données informatiques en réseau. </w:t>
      </w:r>
    </w:p>
    <w:p w14:paraId="101DB603" w14:textId="77777777" w:rsidR="006D25C7" w:rsidRPr="00670028" w:rsidRDefault="006D25C7" w:rsidP="006D25C7">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Le commentaire de la CCT est clair quant aux objectifs poursuivis ;</w:t>
      </w:r>
    </w:p>
    <w:p w14:paraId="5EDC54AC" w14:textId="77777777" w:rsidR="006D25C7" w:rsidRPr="00670028" w:rsidRDefault="006D25C7" w:rsidP="006D25C7">
      <w:pPr>
        <w:widowControl/>
        <w:suppressAutoHyphens w:val="0"/>
        <w:autoSpaceDN/>
        <w:spacing w:before="240" w:after="193" w:line="317" w:lineRule="exact"/>
        <w:ind w:left="708" w:right="72"/>
        <w:jc w:val="both"/>
        <w:rPr>
          <w:rFonts w:ascii="Calibri" w:eastAsia="Times New Roman" w:hAnsi="Calibri" w:cs="Calibri"/>
          <w:i/>
          <w:iCs/>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 « </w:t>
      </w:r>
      <w:r>
        <w:rPr>
          <w:rFonts w:ascii="Calibri" w:eastAsia="Calibri" w:hAnsi="Calibri" w:cs="Calibri"/>
          <w:i/>
          <w:iCs/>
          <w:kern w:val="0"/>
          <w:sz w:val="22"/>
          <w:szCs w:val="22"/>
          <w:lang w:eastAsia="en-US"/>
        </w:rPr>
        <w:t>e</w:t>
      </w:r>
      <w:r w:rsidRPr="00670028">
        <w:rPr>
          <w:rFonts w:ascii="Calibri" w:eastAsia="Calibri" w:hAnsi="Calibri" w:cs="Calibri"/>
          <w:i/>
          <w:iCs/>
          <w:kern w:val="0"/>
          <w:sz w:val="22"/>
          <w:szCs w:val="22"/>
          <w:lang w:eastAsia="en-US"/>
        </w:rPr>
        <w:t xml:space="preserve">n réglant un seul aspect à savoir la garantie du droit à la vie privée du travailleur lorsque sur le lieu de son travail, des données de électroniques sont collectées dans le but de les contrôler et dans ce cadre d'en assurer le traitement de manière à les attribuer à un travailleur ... Il s'impose d'indiquer d'emblée que la convention collective de travail ne réglemente pas l'accès, l'utilisation par le travailleur des moyens de communication électroniques en réseau au sein de l'entreprise. La fixation de ces règles d'accès d'utilisation est liée aux prérogatives de l'employeur ». </w:t>
      </w:r>
    </w:p>
    <w:p w14:paraId="09B75E38" w14:textId="77777777" w:rsidR="006D25C7" w:rsidRPr="00670028" w:rsidRDefault="006D25C7" w:rsidP="006D25C7">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En tout état de cause, en vertu de l’article 5 de la CCT n° 81 :</w:t>
      </w:r>
    </w:p>
    <w:p w14:paraId="5495BFA4" w14:textId="77777777" w:rsidR="00F77BF3" w:rsidRDefault="006D25C7" w:rsidP="00F77BF3">
      <w:pPr>
        <w:widowControl/>
        <w:suppressAutoHyphens w:val="0"/>
        <w:autoSpaceDN/>
        <w:spacing w:before="240" w:after="193" w:line="317" w:lineRule="exact"/>
        <w:ind w:left="708" w:right="72"/>
        <w:jc w:val="both"/>
        <w:rPr>
          <w:rFonts w:ascii="Calibri" w:eastAsia="Calibri" w:hAnsi="Calibri" w:cs="Calibri"/>
          <w:i/>
          <w:iCs/>
          <w:kern w:val="0"/>
          <w:sz w:val="22"/>
          <w:szCs w:val="22"/>
          <w:lang w:eastAsia="en-US"/>
        </w:rPr>
      </w:pPr>
      <w:r w:rsidRPr="00670028">
        <w:rPr>
          <w:rFonts w:ascii="Calibri" w:eastAsia="Calibri" w:hAnsi="Calibri" w:cs="Calibri"/>
          <w:i/>
          <w:iCs/>
          <w:kern w:val="0"/>
          <w:sz w:val="22"/>
          <w:szCs w:val="22"/>
          <w:lang w:eastAsia="en-US"/>
        </w:rPr>
        <w:t>«Le contrôle de données de communication électroniques en réseau n'est autorisé que lorsque l'une ou plusieurs des finalités suivantes est ou sont poursuivies : [...]; 2° la protection des intérêts économiques, commerciaux et financiers de l'entreprise auxquels est attaché un caractère de confidentialité ainsi que la lutte contre les pratiques contraires [...]. »</w:t>
      </w:r>
      <w:r>
        <w:rPr>
          <w:rFonts w:ascii="Calibri" w:eastAsia="Calibri" w:hAnsi="Calibri" w:cs="Calibri"/>
          <w:i/>
          <w:iCs/>
          <w:kern w:val="0"/>
          <w:sz w:val="22"/>
          <w:szCs w:val="22"/>
          <w:lang w:eastAsia="en-US"/>
        </w:rPr>
        <w:t>.</w:t>
      </w:r>
    </w:p>
    <w:p w14:paraId="62FC0AE1" w14:textId="297BF34E" w:rsidR="00F77BF3" w:rsidRPr="00F77BF3" w:rsidRDefault="00F77BF3" w:rsidP="00F77BF3">
      <w:pPr>
        <w:pStyle w:val="doc-ti"/>
        <w:shd w:val="clear" w:color="auto" w:fill="FFFFFF"/>
        <w:spacing w:before="240" w:beforeAutospacing="0" w:after="120" w:afterAutospacing="0"/>
        <w:jc w:val="both"/>
        <w:rPr>
          <w:rFonts w:asciiTheme="minorHAnsi" w:eastAsia="Calibri" w:hAnsiTheme="minorHAnsi" w:cstheme="minorHAnsi"/>
          <w:i/>
          <w:iCs/>
          <w:sz w:val="22"/>
          <w:szCs w:val="22"/>
          <w:lang w:val="fr-BE" w:eastAsia="en-US"/>
        </w:rPr>
      </w:pPr>
      <w:r w:rsidRPr="00F77BF3">
        <w:rPr>
          <w:rFonts w:asciiTheme="minorHAnsi" w:eastAsia="Tahoma" w:hAnsiTheme="minorHAnsi" w:cstheme="minorHAnsi"/>
          <w:color w:val="000000"/>
          <w:sz w:val="22"/>
          <w:szCs w:val="22"/>
        </w:rPr>
        <w:t>Cette  CCT doit être lue en combinaison avec les dispositions du Règlement général pour la protection des données,</w:t>
      </w:r>
      <w:r w:rsidRPr="00F77BF3">
        <w:rPr>
          <w:rFonts w:asciiTheme="minorHAnsi" w:hAnsiTheme="minorHAnsi" w:cstheme="minorHAnsi"/>
          <w:color w:val="000000"/>
          <w:sz w:val="22"/>
          <w:szCs w:val="22"/>
        </w:rPr>
        <w:t xml:space="preserve"> directement applicable en droit interne. </w:t>
      </w:r>
    </w:p>
    <w:p w14:paraId="3DE88C99" w14:textId="7F69BF5E" w:rsidR="00F77BF3" w:rsidRPr="00F77BF3" w:rsidRDefault="00F77BF3" w:rsidP="00F77BF3">
      <w:pPr>
        <w:spacing w:before="161" w:after="345" w:line="277" w:lineRule="exact"/>
        <w:jc w:val="both"/>
        <w:rPr>
          <w:rFonts w:asciiTheme="minorHAnsi" w:eastAsia="Tahoma" w:hAnsiTheme="minorHAnsi" w:cstheme="minorHAnsi"/>
          <w:bCs/>
          <w:color w:val="000000"/>
          <w:spacing w:val="3"/>
          <w:sz w:val="22"/>
          <w:szCs w:val="22"/>
          <w:lang w:val="fr-FR"/>
        </w:rPr>
      </w:pPr>
      <w:r w:rsidRPr="00F77BF3">
        <w:rPr>
          <w:rFonts w:asciiTheme="minorHAnsi" w:eastAsia="Tahoma" w:hAnsiTheme="minorHAnsi" w:cstheme="minorHAnsi"/>
          <w:bCs/>
          <w:color w:val="000000"/>
          <w:spacing w:val="3"/>
          <w:sz w:val="22"/>
          <w:szCs w:val="22"/>
          <w:lang w:val="fr-FR"/>
        </w:rPr>
        <w:t xml:space="preserve">L’article 5 du RGPD dispose </w:t>
      </w:r>
      <w:r>
        <w:rPr>
          <w:rFonts w:asciiTheme="minorHAnsi" w:eastAsia="Tahoma" w:hAnsiTheme="minorHAnsi" w:cstheme="minorHAnsi"/>
          <w:bCs/>
          <w:color w:val="000000"/>
          <w:spacing w:val="3"/>
          <w:sz w:val="22"/>
          <w:szCs w:val="22"/>
          <w:lang w:val="fr-FR"/>
        </w:rPr>
        <w:t>que</w:t>
      </w:r>
      <w:r w:rsidRPr="00F77BF3">
        <w:rPr>
          <w:rFonts w:asciiTheme="minorHAnsi" w:eastAsia="Tahoma" w:hAnsiTheme="minorHAnsi" w:cstheme="minorHAnsi"/>
          <w:bCs/>
          <w:color w:val="000000"/>
          <w:spacing w:val="3"/>
          <w:sz w:val="22"/>
          <w:szCs w:val="22"/>
          <w:lang w:val="fr-FR"/>
        </w:rPr>
        <w:t>:</w:t>
      </w:r>
    </w:p>
    <w:p w14:paraId="792899E4" w14:textId="77777777" w:rsidR="00F77BF3" w:rsidRPr="00F77BF3" w:rsidRDefault="00F77BF3" w:rsidP="00F77BF3">
      <w:pPr>
        <w:spacing w:before="6" w:line="297" w:lineRule="exact"/>
        <w:ind w:left="504"/>
        <w:jc w:val="both"/>
        <w:rPr>
          <w:rFonts w:asciiTheme="minorHAnsi" w:eastAsia="Arial" w:hAnsiTheme="minorHAnsi" w:cstheme="minorHAnsi"/>
          <w:bCs/>
          <w:i/>
          <w:color w:val="000000"/>
          <w:spacing w:val="10"/>
          <w:sz w:val="22"/>
          <w:szCs w:val="22"/>
          <w:lang w:val="fr-FR"/>
        </w:rPr>
      </w:pPr>
      <w:r w:rsidRPr="00F77BF3">
        <w:rPr>
          <w:rFonts w:asciiTheme="minorHAnsi" w:eastAsia="Arial" w:hAnsiTheme="minorHAnsi" w:cstheme="minorHAnsi"/>
          <w:bCs/>
          <w:i/>
          <w:color w:val="000000"/>
          <w:spacing w:val="10"/>
          <w:sz w:val="22"/>
          <w:szCs w:val="22"/>
          <w:lang w:val="fr-FR"/>
        </w:rPr>
        <w:t xml:space="preserve">Les données à caractère personnel doivent être: </w:t>
      </w:r>
    </w:p>
    <w:p w14:paraId="25A4CA3A" w14:textId="77777777" w:rsidR="00F77BF3" w:rsidRPr="00F77BF3" w:rsidRDefault="00F77BF3" w:rsidP="00F77BF3">
      <w:pPr>
        <w:widowControl/>
        <w:numPr>
          <w:ilvl w:val="0"/>
          <w:numId w:val="16"/>
        </w:numPr>
        <w:tabs>
          <w:tab w:val="clear" w:pos="288"/>
          <w:tab w:val="left" w:pos="1584"/>
        </w:tabs>
        <w:suppressAutoHyphens w:val="0"/>
        <w:autoSpaceDN/>
        <w:spacing w:before="150" w:line="297" w:lineRule="exact"/>
        <w:ind w:left="1296" w:right="144"/>
        <w:jc w:val="both"/>
        <w:rPr>
          <w:rFonts w:asciiTheme="minorHAnsi" w:eastAsia="Arial" w:hAnsiTheme="minorHAnsi" w:cstheme="minorHAnsi"/>
          <w:bCs/>
          <w:i/>
          <w:color w:val="000000"/>
          <w:sz w:val="22"/>
          <w:szCs w:val="22"/>
          <w:lang w:val="fr-FR"/>
        </w:rPr>
      </w:pPr>
      <w:r w:rsidRPr="00F77BF3">
        <w:rPr>
          <w:rFonts w:asciiTheme="minorHAnsi" w:eastAsia="Arial" w:hAnsiTheme="minorHAnsi" w:cstheme="minorHAnsi"/>
          <w:bCs/>
          <w:i/>
          <w:color w:val="000000"/>
          <w:sz w:val="22"/>
          <w:szCs w:val="22"/>
          <w:lang w:val="fr-FR"/>
        </w:rPr>
        <w:t xml:space="preserve">traitées de manière licite, loyale et transparente au regard de la personne concernée (licéité, loyauté, transparence); </w:t>
      </w:r>
    </w:p>
    <w:p w14:paraId="3DEEC9FE" w14:textId="77777777" w:rsidR="00F77BF3" w:rsidRPr="00F77BF3" w:rsidRDefault="00F77BF3" w:rsidP="00F77BF3">
      <w:pPr>
        <w:widowControl/>
        <w:numPr>
          <w:ilvl w:val="0"/>
          <w:numId w:val="16"/>
        </w:numPr>
        <w:tabs>
          <w:tab w:val="clear" w:pos="288"/>
          <w:tab w:val="left" w:pos="1584"/>
        </w:tabs>
        <w:suppressAutoHyphens w:val="0"/>
        <w:autoSpaceDN/>
        <w:spacing w:line="294" w:lineRule="exact"/>
        <w:ind w:left="1296" w:right="144"/>
        <w:jc w:val="both"/>
        <w:rPr>
          <w:rFonts w:asciiTheme="minorHAnsi" w:eastAsia="Arial" w:hAnsiTheme="minorHAnsi" w:cstheme="minorHAnsi"/>
          <w:bCs/>
          <w:i/>
          <w:color w:val="000000"/>
          <w:sz w:val="22"/>
          <w:szCs w:val="22"/>
          <w:lang w:val="fr-FR"/>
        </w:rPr>
      </w:pPr>
      <w:r w:rsidRPr="00F77BF3">
        <w:rPr>
          <w:rFonts w:asciiTheme="minorHAnsi" w:eastAsia="Arial" w:hAnsiTheme="minorHAnsi" w:cstheme="minorHAnsi"/>
          <w:bCs/>
          <w:i/>
          <w:color w:val="000000"/>
          <w:sz w:val="22"/>
          <w:szCs w:val="22"/>
          <w:lang w:val="fr-FR"/>
        </w:rPr>
        <w:t xml:space="preserve">collectées pour des finalités déterminées, explicites et légitimes, et ne pas être traitées ultérieurement d'une manière incompatible avec ces finalités; </w:t>
      </w:r>
      <w:r w:rsidRPr="00F77BF3">
        <w:rPr>
          <w:rFonts w:asciiTheme="minorHAnsi" w:eastAsia="Tahoma" w:hAnsiTheme="minorHAnsi" w:cstheme="minorHAnsi"/>
          <w:bCs/>
          <w:color w:val="000000"/>
          <w:sz w:val="22"/>
          <w:szCs w:val="22"/>
          <w:lang w:val="fr-FR"/>
        </w:rPr>
        <w:t xml:space="preserve">(...) </w:t>
      </w:r>
      <w:r w:rsidRPr="00F77BF3">
        <w:rPr>
          <w:rFonts w:asciiTheme="minorHAnsi" w:eastAsia="Arial" w:hAnsiTheme="minorHAnsi" w:cstheme="minorHAnsi"/>
          <w:bCs/>
          <w:i/>
          <w:color w:val="000000"/>
          <w:sz w:val="22"/>
          <w:szCs w:val="22"/>
          <w:lang w:val="fr-FR"/>
        </w:rPr>
        <w:t>(limitation</w:t>
      </w:r>
      <w:r w:rsidRPr="00F77BF3">
        <w:rPr>
          <w:rFonts w:asciiTheme="minorHAnsi" w:eastAsia="Arial" w:hAnsiTheme="minorHAnsi" w:cstheme="minorHAnsi"/>
          <w:bCs/>
          <w:i/>
          <w:color w:val="000000"/>
          <w:sz w:val="22"/>
          <w:szCs w:val="22"/>
          <w:lang w:val="nl-NL"/>
        </w:rPr>
        <w:t xml:space="preserve"> des</w:t>
      </w:r>
      <w:r w:rsidRPr="00F77BF3">
        <w:rPr>
          <w:rFonts w:asciiTheme="minorHAnsi" w:eastAsia="Arial" w:hAnsiTheme="minorHAnsi" w:cstheme="minorHAnsi"/>
          <w:bCs/>
          <w:i/>
          <w:color w:val="000000"/>
          <w:sz w:val="22"/>
          <w:szCs w:val="22"/>
          <w:lang w:val="fr-FR"/>
        </w:rPr>
        <w:t xml:space="preserve"> finalités);</w:t>
      </w:r>
    </w:p>
    <w:p w14:paraId="0CC7F496" w14:textId="77777777" w:rsidR="00F77BF3" w:rsidRPr="00F77BF3" w:rsidRDefault="00F77BF3" w:rsidP="00F77BF3">
      <w:pPr>
        <w:spacing w:before="261" w:line="303" w:lineRule="exact"/>
        <w:ind w:left="1296" w:right="144"/>
        <w:jc w:val="both"/>
        <w:rPr>
          <w:rFonts w:asciiTheme="minorHAnsi" w:eastAsia="Tahoma" w:hAnsiTheme="minorHAnsi" w:cstheme="minorHAnsi"/>
          <w:bCs/>
          <w:color w:val="000000"/>
          <w:sz w:val="22"/>
          <w:szCs w:val="22"/>
          <w:lang w:val="fr-FR"/>
        </w:rPr>
      </w:pPr>
      <w:r w:rsidRPr="00F77BF3">
        <w:rPr>
          <w:rFonts w:asciiTheme="minorHAnsi" w:eastAsia="Tahoma" w:hAnsiTheme="minorHAnsi" w:cstheme="minorHAnsi"/>
          <w:bCs/>
          <w:color w:val="000000"/>
          <w:sz w:val="22"/>
          <w:szCs w:val="22"/>
          <w:lang w:val="fr-FR"/>
        </w:rPr>
        <w:t>(...)</w:t>
      </w:r>
      <w:r w:rsidRPr="00F77BF3">
        <w:rPr>
          <w:rFonts w:asciiTheme="minorHAnsi" w:eastAsia="Arial" w:hAnsiTheme="minorHAnsi" w:cstheme="minorHAnsi"/>
          <w:bCs/>
          <w:i/>
          <w:color w:val="000000"/>
          <w:sz w:val="22"/>
          <w:szCs w:val="22"/>
          <w:lang w:val="fr-FR"/>
        </w:rPr>
        <w:t xml:space="preserve"> e) </w:t>
      </w:r>
      <w:r w:rsidRPr="00F77BF3">
        <w:rPr>
          <w:rFonts w:asciiTheme="minorHAnsi" w:eastAsia="Arial" w:hAnsiTheme="minorHAnsi" w:cstheme="minorHAnsi"/>
          <w:bCs/>
          <w:i/>
          <w:color w:val="000000"/>
          <w:sz w:val="22"/>
          <w:szCs w:val="22"/>
          <w:u w:val="single"/>
          <w:lang w:val="fr-FR"/>
        </w:rPr>
        <w:t>conservées sous une forme permettant l'identification des personnes concernées pendant une durée n'excédant pas celle nécessaire au regard des finalités pour lesquelles elles sont traitées</w:t>
      </w:r>
      <w:r w:rsidRPr="00F77BF3">
        <w:rPr>
          <w:rFonts w:asciiTheme="minorHAnsi" w:eastAsia="Arial" w:hAnsiTheme="minorHAnsi" w:cstheme="minorHAnsi"/>
          <w:bCs/>
          <w:i/>
          <w:color w:val="000000"/>
          <w:sz w:val="22"/>
          <w:szCs w:val="22"/>
          <w:lang w:val="fr-FR"/>
        </w:rPr>
        <w:t xml:space="preserve">; </w:t>
      </w:r>
      <w:r w:rsidRPr="00F77BF3">
        <w:rPr>
          <w:rFonts w:asciiTheme="minorHAnsi" w:eastAsia="Tahoma" w:hAnsiTheme="minorHAnsi" w:cstheme="minorHAnsi"/>
          <w:bCs/>
          <w:color w:val="000000"/>
          <w:sz w:val="22"/>
          <w:szCs w:val="22"/>
          <w:lang w:val="fr-FR"/>
        </w:rPr>
        <w:t xml:space="preserve">(...) </w:t>
      </w:r>
      <w:r w:rsidRPr="00F77BF3">
        <w:rPr>
          <w:rFonts w:asciiTheme="minorHAnsi" w:eastAsia="Arial" w:hAnsiTheme="minorHAnsi" w:cstheme="minorHAnsi"/>
          <w:bCs/>
          <w:i/>
          <w:color w:val="000000"/>
          <w:sz w:val="22"/>
          <w:szCs w:val="22"/>
          <w:lang w:val="fr-FR"/>
        </w:rPr>
        <w:t>(limitation</w:t>
      </w:r>
      <w:r w:rsidRPr="00716701">
        <w:rPr>
          <w:rFonts w:asciiTheme="minorHAnsi" w:eastAsia="Arial" w:hAnsiTheme="minorHAnsi" w:cstheme="minorHAnsi"/>
          <w:bCs/>
          <w:i/>
          <w:color w:val="000000"/>
          <w:sz w:val="22"/>
          <w:szCs w:val="22"/>
          <w:lang w:val="fr-FR"/>
        </w:rPr>
        <w:t xml:space="preserve"> de la</w:t>
      </w:r>
      <w:r w:rsidRPr="00F77BF3">
        <w:rPr>
          <w:rFonts w:asciiTheme="minorHAnsi" w:eastAsia="Arial" w:hAnsiTheme="minorHAnsi" w:cstheme="minorHAnsi"/>
          <w:bCs/>
          <w:i/>
          <w:color w:val="000000"/>
          <w:sz w:val="22"/>
          <w:szCs w:val="22"/>
          <w:lang w:val="fr-FR"/>
        </w:rPr>
        <w:t xml:space="preserve"> conservation);</w:t>
      </w:r>
    </w:p>
    <w:p w14:paraId="27E4AEE7" w14:textId="7D1A7BAD" w:rsidR="00F77BF3" w:rsidRPr="00716701" w:rsidRDefault="00F77BF3" w:rsidP="00716701">
      <w:pPr>
        <w:spacing w:after="168" w:line="287" w:lineRule="exact"/>
        <w:ind w:left="1296"/>
        <w:jc w:val="both"/>
        <w:rPr>
          <w:rFonts w:asciiTheme="minorHAnsi" w:eastAsia="Tahoma" w:hAnsiTheme="minorHAnsi" w:cstheme="minorHAnsi"/>
          <w:bCs/>
          <w:color w:val="000000"/>
          <w:spacing w:val="2"/>
          <w:sz w:val="22"/>
          <w:szCs w:val="22"/>
          <w:lang w:val="fr-FR"/>
        </w:rPr>
      </w:pPr>
      <w:r w:rsidRPr="00F77BF3">
        <w:rPr>
          <w:rFonts w:asciiTheme="minorHAnsi" w:eastAsia="Tahoma" w:hAnsiTheme="minorHAnsi" w:cstheme="minorHAnsi"/>
          <w:bCs/>
          <w:color w:val="000000"/>
          <w:spacing w:val="2"/>
          <w:sz w:val="22"/>
          <w:szCs w:val="22"/>
          <w:lang w:val="fr-FR"/>
        </w:rPr>
        <w:t>(...) »</w:t>
      </w:r>
      <w:r>
        <w:rPr>
          <w:rStyle w:val="Appelnotedebasdep"/>
          <w:rFonts w:asciiTheme="minorHAnsi" w:eastAsia="Tahoma" w:hAnsiTheme="minorHAnsi" w:cstheme="minorHAnsi"/>
          <w:bCs/>
          <w:color w:val="000000"/>
          <w:spacing w:val="2"/>
          <w:sz w:val="22"/>
          <w:szCs w:val="22"/>
          <w:lang w:val="fr-FR"/>
        </w:rPr>
        <w:footnoteReference w:id="30"/>
      </w:r>
      <w:r w:rsidR="00716701">
        <w:rPr>
          <w:rFonts w:asciiTheme="minorHAnsi" w:eastAsia="Tahoma" w:hAnsiTheme="minorHAnsi" w:cstheme="minorHAnsi"/>
          <w:bCs/>
          <w:color w:val="000000"/>
          <w:spacing w:val="2"/>
          <w:sz w:val="22"/>
          <w:szCs w:val="22"/>
          <w:lang w:val="fr-FR"/>
        </w:rPr>
        <w:t xml:space="preserve">. </w:t>
      </w:r>
    </w:p>
    <w:p w14:paraId="7177AFBC" w14:textId="4D25CAF9" w:rsidR="006D25C7" w:rsidRDefault="00F77BF3" w:rsidP="006D25C7">
      <w:pPr>
        <w:spacing w:before="17" w:line="295" w:lineRule="exact"/>
        <w:ind w:right="144"/>
        <w:jc w:val="both"/>
        <w:rPr>
          <w:rFonts w:asciiTheme="minorHAnsi" w:eastAsia="Tahoma" w:hAnsiTheme="minorHAnsi" w:cstheme="minorHAnsi"/>
          <w:color w:val="000000"/>
          <w:spacing w:val="1"/>
          <w:sz w:val="22"/>
          <w:szCs w:val="22"/>
          <w:lang w:val="fr-FR"/>
        </w:rPr>
      </w:pPr>
      <w:r>
        <w:rPr>
          <w:rFonts w:asciiTheme="minorHAnsi" w:eastAsia="Tahoma" w:hAnsiTheme="minorHAnsi" w:cstheme="minorHAnsi"/>
          <w:color w:val="000000"/>
          <w:sz w:val="22"/>
          <w:szCs w:val="22"/>
          <w:lang w:val="fr-FR"/>
        </w:rPr>
        <w:t>Il</w:t>
      </w:r>
      <w:r w:rsidR="006D25C7">
        <w:rPr>
          <w:rFonts w:asciiTheme="minorHAnsi" w:eastAsia="Tahoma" w:hAnsiTheme="minorHAnsi" w:cstheme="minorHAnsi"/>
          <w:color w:val="000000"/>
          <w:sz w:val="22"/>
          <w:szCs w:val="22"/>
          <w:lang w:val="fr-FR"/>
        </w:rPr>
        <w:t xml:space="preserve"> convient</w:t>
      </w:r>
      <w:r>
        <w:rPr>
          <w:rFonts w:asciiTheme="minorHAnsi" w:eastAsia="Tahoma" w:hAnsiTheme="minorHAnsi" w:cstheme="minorHAnsi"/>
          <w:color w:val="000000"/>
          <w:sz w:val="22"/>
          <w:szCs w:val="22"/>
          <w:lang w:val="fr-FR"/>
        </w:rPr>
        <w:t xml:space="preserve"> encore</w:t>
      </w:r>
      <w:r w:rsidR="006D25C7">
        <w:rPr>
          <w:rFonts w:asciiTheme="minorHAnsi" w:eastAsia="Tahoma" w:hAnsiTheme="minorHAnsi" w:cstheme="minorHAnsi"/>
          <w:color w:val="000000"/>
          <w:sz w:val="22"/>
          <w:szCs w:val="22"/>
          <w:lang w:val="fr-FR"/>
        </w:rPr>
        <w:t xml:space="preserve"> de tenir compte de l</w:t>
      </w:r>
      <w:r w:rsidR="006D25C7" w:rsidRPr="006D25C7">
        <w:rPr>
          <w:rFonts w:asciiTheme="minorHAnsi" w:eastAsia="Tahoma" w:hAnsiTheme="minorHAnsi" w:cstheme="minorHAnsi"/>
          <w:color w:val="000000"/>
          <w:sz w:val="22"/>
          <w:szCs w:val="22"/>
          <w:lang w:val="fr-FR"/>
        </w:rPr>
        <w:t>’article 124 de la loi du 13 juin 2005 relative aux communications électroniques énonce l’</w:t>
      </w:r>
      <w:r w:rsidR="006D25C7" w:rsidRPr="006D25C7">
        <w:rPr>
          <w:rFonts w:asciiTheme="minorHAnsi" w:eastAsia="Arial" w:hAnsiTheme="minorHAnsi" w:cstheme="minorHAnsi"/>
          <w:i/>
          <w:color w:val="000000"/>
          <w:sz w:val="22"/>
          <w:szCs w:val="22"/>
          <w:lang w:val="fr-FR"/>
        </w:rPr>
        <w:t xml:space="preserve">interdiction </w:t>
      </w:r>
      <w:r w:rsidR="006D25C7" w:rsidRPr="006D25C7">
        <w:rPr>
          <w:rFonts w:asciiTheme="minorHAnsi" w:eastAsia="Tahoma" w:hAnsiTheme="minorHAnsi" w:cstheme="minorHAnsi"/>
          <w:color w:val="000000"/>
          <w:sz w:val="22"/>
          <w:szCs w:val="22"/>
          <w:lang w:val="fr-FR"/>
        </w:rPr>
        <w:t xml:space="preserve">suivante : nul ne peut, s'il n'y est pas autorisé par toutes </w:t>
      </w:r>
      <w:r w:rsidR="006D25C7" w:rsidRPr="006D25C7">
        <w:rPr>
          <w:rFonts w:asciiTheme="minorHAnsi" w:eastAsia="Tahoma" w:hAnsiTheme="minorHAnsi" w:cstheme="minorHAnsi"/>
          <w:color w:val="000000"/>
          <w:spacing w:val="1"/>
          <w:sz w:val="22"/>
          <w:szCs w:val="22"/>
          <w:lang w:val="fr-FR"/>
        </w:rPr>
        <w:t>les</w:t>
      </w:r>
      <w:r w:rsidR="006D25C7">
        <w:rPr>
          <w:rFonts w:asciiTheme="minorHAnsi" w:eastAsia="Tahoma" w:hAnsiTheme="minorHAnsi" w:cstheme="minorHAnsi"/>
          <w:color w:val="000000"/>
          <w:spacing w:val="1"/>
          <w:sz w:val="22"/>
          <w:szCs w:val="22"/>
          <w:lang w:val="fr-FR"/>
        </w:rPr>
        <w:t xml:space="preserve"> </w:t>
      </w:r>
      <w:r w:rsidR="006D25C7" w:rsidRPr="006D25C7">
        <w:rPr>
          <w:rFonts w:asciiTheme="minorHAnsi" w:eastAsia="Tahoma" w:hAnsiTheme="minorHAnsi" w:cstheme="minorHAnsi"/>
          <w:color w:val="000000"/>
          <w:spacing w:val="1"/>
          <w:sz w:val="22"/>
          <w:szCs w:val="22"/>
          <w:lang w:val="fr-FR"/>
        </w:rPr>
        <w:t xml:space="preserve">personnes directement ou indirectement concernées « </w:t>
      </w:r>
      <w:r w:rsidR="006D25C7" w:rsidRPr="006D25C7">
        <w:rPr>
          <w:rFonts w:asciiTheme="minorHAnsi" w:eastAsia="Arial" w:hAnsiTheme="minorHAnsi" w:cstheme="minorHAnsi"/>
          <w:i/>
          <w:color w:val="000000"/>
          <w:spacing w:val="1"/>
          <w:sz w:val="22"/>
          <w:szCs w:val="22"/>
          <w:lang w:val="fr-FR"/>
        </w:rPr>
        <w:t xml:space="preserve">prendre </w:t>
      </w:r>
      <w:r w:rsidR="006D25C7" w:rsidRPr="006D25C7">
        <w:rPr>
          <w:rFonts w:asciiTheme="minorHAnsi" w:eastAsia="Arial" w:hAnsiTheme="minorHAnsi" w:cstheme="minorHAnsi"/>
          <w:i/>
          <w:color w:val="000000"/>
          <w:spacing w:val="1"/>
          <w:sz w:val="22"/>
          <w:szCs w:val="22"/>
          <w:lang w:val="fr-FR"/>
        </w:rPr>
        <w:br/>
        <w:t xml:space="preserve">intentionnellement connaissance de l'existence d'une information de toute nature transmise par voie de communication électronique et qui ne lui est pas destinée personnellement </w:t>
      </w:r>
      <w:r w:rsidR="006D25C7" w:rsidRPr="006D25C7">
        <w:rPr>
          <w:rFonts w:asciiTheme="minorHAnsi" w:eastAsia="Tahoma" w:hAnsiTheme="minorHAnsi" w:cstheme="minorHAnsi"/>
          <w:color w:val="000000"/>
          <w:spacing w:val="1"/>
          <w:sz w:val="22"/>
          <w:szCs w:val="22"/>
          <w:lang w:val="fr-FR"/>
        </w:rPr>
        <w:t xml:space="preserve">». </w:t>
      </w:r>
    </w:p>
    <w:p w14:paraId="16AF06F2" w14:textId="77777777" w:rsidR="006D25C7" w:rsidRDefault="006D25C7" w:rsidP="006D25C7">
      <w:pPr>
        <w:spacing w:before="17" w:line="295" w:lineRule="exact"/>
        <w:ind w:left="144" w:right="144"/>
        <w:jc w:val="both"/>
        <w:rPr>
          <w:rFonts w:asciiTheme="minorHAnsi" w:eastAsia="Tahoma" w:hAnsiTheme="minorHAnsi" w:cstheme="minorHAnsi"/>
          <w:color w:val="000000"/>
          <w:spacing w:val="1"/>
          <w:sz w:val="22"/>
          <w:szCs w:val="22"/>
          <w:lang w:val="fr-FR"/>
        </w:rPr>
      </w:pPr>
    </w:p>
    <w:p w14:paraId="36DB14EE" w14:textId="6E0E448E" w:rsidR="006D25C7" w:rsidRPr="006D25C7" w:rsidRDefault="006D25C7" w:rsidP="006D25C7">
      <w:pPr>
        <w:spacing w:before="17" w:line="295" w:lineRule="exact"/>
        <w:ind w:right="144"/>
        <w:jc w:val="both"/>
        <w:rPr>
          <w:rFonts w:asciiTheme="minorHAnsi" w:eastAsia="Tahoma" w:hAnsiTheme="minorHAnsi" w:cstheme="minorHAnsi"/>
          <w:color w:val="000000"/>
          <w:spacing w:val="1"/>
          <w:sz w:val="22"/>
          <w:szCs w:val="22"/>
          <w:lang w:val="fr-FR"/>
        </w:rPr>
      </w:pPr>
      <w:r w:rsidRPr="006D25C7">
        <w:rPr>
          <w:rFonts w:asciiTheme="minorHAnsi" w:eastAsia="Tahoma" w:hAnsiTheme="minorHAnsi" w:cstheme="minorHAnsi"/>
          <w:color w:val="000000"/>
          <w:spacing w:val="1"/>
          <w:sz w:val="22"/>
          <w:szCs w:val="22"/>
          <w:lang w:val="fr-FR"/>
        </w:rPr>
        <w:t xml:space="preserve">Cette interdiction concerne aussi bien la prise de connaissance et l’usage de l’existence d’une information que la </w:t>
      </w:r>
      <w:r w:rsidRPr="006D25C7">
        <w:rPr>
          <w:rFonts w:asciiTheme="minorHAnsi" w:eastAsia="Arial" w:hAnsiTheme="minorHAnsi" w:cstheme="minorHAnsi"/>
          <w:bCs/>
          <w:i/>
          <w:color w:val="000000"/>
          <w:spacing w:val="1"/>
          <w:sz w:val="22"/>
          <w:szCs w:val="22"/>
          <w:lang w:val="fr-FR"/>
        </w:rPr>
        <w:t>prise de connaissance et</w:t>
      </w:r>
      <w:r w:rsidRPr="006D25C7">
        <w:rPr>
          <w:rFonts w:asciiTheme="minorHAnsi" w:eastAsia="Tahoma" w:hAnsiTheme="minorHAnsi" w:cstheme="minorHAnsi"/>
          <w:bCs/>
          <w:i/>
          <w:color w:val="000000"/>
          <w:spacing w:val="1"/>
          <w:sz w:val="22"/>
          <w:szCs w:val="22"/>
          <w:lang w:val="fr-FR"/>
        </w:rPr>
        <w:t xml:space="preserve"> l’usage du contenu</w:t>
      </w:r>
      <w:r w:rsidRPr="006D25C7">
        <w:rPr>
          <w:rFonts w:asciiTheme="minorHAnsi" w:eastAsia="Tahoma" w:hAnsiTheme="minorHAnsi" w:cstheme="minorHAnsi"/>
          <w:b/>
          <w:i/>
          <w:color w:val="000000"/>
          <w:spacing w:val="1"/>
          <w:sz w:val="22"/>
          <w:szCs w:val="22"/>
          <w:lang w:val="fr-FR"/>
        </w:rPr>
        <w:t xml:space="preserve"> </w:t>
      </w:r>
      <w:r w:rsidRPr="006D25C7">
        <w:rPr>
          <w:rFonts w:asciiTheme="minorHAnsi" w:eastAsia="Tahoma" w:hAnsiTheme="minorHAnsi" w:cstheme="minorHAnsi"/>
          <w:color w:val="000000"/>
          <w:spacing w:val="1"/>
          <w:sz w:val="22"/>
          <w:szCs w:val="22"/>
          <w:lang w:val="fr-FR"/>
        </w:rPr>
        <w:t>même de l’information</w:t>
      </w:r>
      <w:r>
        <w:rPr>
          <w:rStyle w:val="Appelnotedebasdep"/>
          <w:rFonts w:asciiTheme="minorHAnsi" w:eastAsia="Tahoma" w:hAnsiTheme="minorHAnsi" w:cstheme="minorHAnsi"/>
          <w:color w:val="000000"/>
          <w:spacing w:val="1"/>
          <w:sz w:val="22"/>
          <w:szCs w:val="22"/>
          <w:lang w:val="fr-FR"/>
        </w:rPr>
        <w:footnoteReference w:id="31"/>
      </w:r>
      <w:r w:rsidRPr="006D25C7">
        <w:rPr>
          <w:rFonts w:asciiTheme="minorHAnsi" w:eastAsia="Tahoma" w:hAnsiTheme="minorHAnsi" w:cstheme="minorHAnsi"/>
          <w:color w:val="000000"/>
          <w:spacing w:val="1"/>
          <w:sz w:val="22"/>
          <w:szCs w:val="22"/>
        </w:rPr>
        <w:t xml:space="preserve"> </w:t>
      </w:r>
    </w:p>
    <w:p w14:paraId="0DBEC89A" w14:textId="77777777" w:rsidR="006D25C7" w:rsidRPr="006D25C7" w:rsidRDefault="006D25C7" w:rsidP="006D25C7">
      <w:pPr>
        <w:spacing w:before="161" w:line="296" w:lineRule="exact"/>
        <w:ind w:right="144"/>
        <w:jc w:val="both"/>
        <w:rPr>
          <w:rFonts w:asciiTheme="minorHAnsi" w:eastAsia="Tahoma" w:hAnsiTheme="minorHAnsi" w:cstheme="minorHAnsi"/>
          <w:color w:val="000000"/>
          <w:sz w:val="22"/>
          <w:szCs w:val="22"/>
          <w:lang w:val="fr-FR"/>
        </w:rPr>
      </w:pPr>
      <w:r w:rsidRPr="006D25C7">
        <w:rPr>
          <w:rFonts w:asciiTheme="minorHAnsi" w:eastAsia="Tahoma" w:hAnsiTheme="minorHAnsi" w:cstheme="minorHAnsi"/>
          <w:color w:val="000000"/>
          <w:sz w:val="22"/>
          <w:szCs w:val="22"/>
          <w:lang w:val="fr-FR"/>
        </w:rPr>
        <w:t>L’article 125 de la loi du 13 juin 2005 relative aux communications électroniques prévoit cependant des</w:t>
      </w:r>
      <w:r w:rsidRPr="006D25C7">
        <w:rPr>
          <w:rFonts w:asciiTheme="minorHAnsi" w:eastAsia="Tahoma" w:hAnsiTheme="minorHAnsi" w:cstheme="minorHAnsi"/>
          <w:b/>
          <w:i/>
          <w:color w:val="000000"/>
          <w:sz w:val="22"/>
          <w:szCs w:val="22"/>
          <w:lang w:val="fr-FR"/>
        </w:rPr>
        <w:t xml:space="preserve"> </w:t>
      </w:r>
      <w:r w:rsidRPr="006D25C7">
        <w:rPr>
          <w:rFonts w:asciiTheme="minorHAnsi" w:eastAsia="Tahoma" w:hAnsiTheme="minorHAnsi" w:cstheme="minorHAnsi"/>
          <w:bCs/>
          <w:i/>
          <w:color w:val="000000"/>
          <w:sz w:val="22"/>
          <w:szCs w:val="22"/>
          <w:lang w:val="fr-FR"/>
        </w:rPr>
        <w:t>exceptions à l’interdiction</w:t>
      </w:r>
      <w:r w:rsidRPr="006D25C7">
        <w:rPr>
          <w:rFonts w:asciiTheme="minorHAnsi" w:eastAsia="Tahoma" w:hAnsiTheme="minorHAnsi" w:cstheme="minorHAnsi"/>
          <w:b/>
          <w:i/>
          <w:color w:val="000000"/>
          <w:sz w:val="22"/>
          <w:szCs w:val="22"/>
          <w:lang w:val="fr-FR"/>
        </w:rPr>
        <w:t xml:space="preserve"> </w:t>
      </w:r>
      <w:r w:rsidRPr="006D25C7">
        <w:rPr>
          <w:rFonts w:asciiTheme="minorHAnsi" w:eastAsia="Tahoma" w:hAnsiTheme="minorHAnsi" w:cstheme="minorHAnsi"/>
          <w:color w:val="000000"/>
          <w:sz w:val="22"/>
          <w:szCs w:val="22"/>
          <w:lang w:val="fr-FR"/>
        </w:rPr>
        <w:t xml:space="preserve">précitée : « </w:t>
      </w:r>
      <w:r w:rsidRPr="006D25C7">
        <w:rPr>
          <w:rFonts w:asciiTheme="minorHAnsi" w:eastAsia="Arial" w:hAnsiTheme="minorHAnsi" w:cstheme="minorHAnsi"/>
          <w:i/>
          <w:color w:val="000000"/>
          <w:sz w:val="22"/>
          <w:szCs w:val="22"/>
          <w:lang w:val="fr-FR"/>
        </w:rPr>
        <w:t>Les dispositions de l'article 124 de la présente loi et les articles 259bis et 314bis du Code pénal ne sont pas applicables: 1° lorsque la loi permet ou impose l'accomplissement des actes visés</w:t>
      </w:r>
      <w:r w:rsidRPr="006D25C7">
        <w:rPr>
          <w:rFonts w:asciiTheme="minorHAnsi" w:eastAsia="Tahoma" w:hAnsiTheme="minorHAnsi" w:cstheme="minorHAnsi"/>
          <w:color w:val="000000"/>
          <w:sz w:val="22"/>
          <w:szCs w:val="22"/>
          <w:lang w:val="fr-FR"/>
        </w:rPr>
        <w:t>; (...) ».</w:t>
      </w:r>
    </w:p>
    <w:p w14:paraId="09846D0A" w14:textId="058360AE" w:rsidR="006D25C7" w:rsidRDefault="006D25C7" w:rsidP="006D25C7">
      <w:pPr>
        <w:spacing w:before="158" w:line="294" w:lineRule="exact"/>
        <w:ind w:right="144"/>
        <w:jc w:val="both"/>
        <w:rPr>
          <w:rFonts w:asciiTheme="minorHAnsi" w:eastAsia="Tahoma" w:hAnsiTheme="minorHAnsi" w:cstheme="minorHAnsi"/>
          <w:color w:val="0462C1"/>
          <w:sz w:val="22"/>
          <w:szCs w:val="22"/>
          <w:lang w:val="fr-FR"/>
        </w:rPr>
      </w:pPr>
      <w:r w:rsidRPr="006D25C7">
        <w:rPr>
          <w:rFonts w:asciiTheme="minorHAnsi" w:eastAsia="Tahoma" w:hAnsiTheme="minorHAnsi" w:cstheme="minorHAnsi"/>
          <w:color w:val="000000"/>
          <w:spacing w:val="4"/>
          <w:sz w:val="22"/>
          <w:szCs w:val="22"/>
          <w:lang w:val="fr-FR"/>
        </w:rPr>
        <w:t>Une partie de la doctrine et de la jurisprudence considère que les dispositions de loi du 3 juillet 1978 relative aux contrats de travail et celles de la CCT n° 81 du 26 avril 2002 relative à la protection de la vie privée des travailleurs à l'égard du contrôle des données de communication électroniques en réseau, constitueraient le socle de l’</w:t>
      </w:r>
      <w:r w:rsidRPr="006D25C7">
        <w:rPr>
          <w:rFonts w:asciiTheme="minorHAnsi" w:eastAsia="Arial" w:hAnsiTheme="minorHAnsi" w:cstheme="minorHAnsi"/>
          <w:i/>
          <w:color w:val="000000"/>
          <w:spacing w:val="4"/>
          <w:sz w:val="22"/>
          <w:szCs w:val="22"/>
          <w:lang w:val="fr-FR"/>
        </w:rPr>
        <w:t>autorisation légale</w:t>
      </w:r>
      <w:r w:rsidRPr="006D25C7">
        <w:rPr>
          <w:rFonts w:asciiTheme="minorHAnsi" w:eastAsia="Tahoma" w:hAnsiTheme="minorHAnsi" w:cstheme="minorHAnsi"/>
          <w:i/>
          <w:color w:val="000000"/>
          <w:spacing w:val="4"/>
          <w:sz w:val="22"/>
          <w:szCs w:val="22"/>
          <w:lang w:val="fr-FR"/>
        </w:rPr>
        <w:t>, pour l’employeur</w:t>
      </w:r>
      <w:r w:rsidRPr="006D25C7">
        <w:rPr>
          <w:rFonts w:asciiTheme="minorHAnsi" w:eastAsia="Tahoma" w:hAnsiTheme="minorHAnsi" w:cstheme="minorHAnsi"/>
          <w:color w:val="000000"/>
          <w:spacing w:val="4"/>
          <w:sz w:val="22"/>
          <w:szCs w:val="22"/>
          <w:lang w:val="fr-FR"/>
        </w:rPr>
        <w:t>, de contrôler les communications électroniques de ses salariés sans devoir recueillir leur consentement</w:t>
      </w:r>
      <w:r>
        <w:rPr>
          <w:rStyle w:val="Appelnotedebasdep"/>
          <w:rFonts w:asciiTheme="minorHAnsi" w:eastAsia="Tahoma" w:hAnsiTheme="minorHAnsi" w:cstheme="minorHAnsi"/>
          <w:color w:val="000000"/>
          <w:spacing w:val="4"/>
          <w:sz w:val="22"/>
          <w:szCs w:val="22"/>
          <w:lang w:val="fr-FR"/>
        </w:rPr>
        <w:footnoteReference w:id="32"/>
      </w:r>
      <w:r w:rsidRPr="006D25C7">
        <w:rPr>
          <w:rFonts w:asciiTheme="minorHAnsi" w:eastAsia="Tahoma" w:hAnsiTheme="minorHAnsi" w:cstheme="minorHAnsi"/>
          <w:color w:val="000000"/>
          <w:spacing w:val="4"/>
          <w:sz w:val="22"/>
          <w:szCs w:val="22"/>
          <w:lang w:val="fr-FR"/>
        </w:rPr>
        <w:t xml:space="preserve">  Tel est également l’avis de l’Autorité de</w:t>
      </w:r>
      <w:r>
        <w:rPr>
          <w:rFonts w:asciiTheme="minorHAnsi" w:eastAsia="Tahoma" w:hAnsiTheme="minorHAnsi" w:cstheme="minorHAnsi"/>
          <w:color w:val="000000"/>
          <w:spacing w:val="4"/>
          <w:sz w:val="22"/>
          <w:szCs w:val="22"/>
          <w:lang w:val="fr-FR"/>
        </w:rPr>
        <w:t xml:space="preserve"> </w:t>
      </w:r>
      <w:r w:rsidRPr="006D25C7">
        <w:rPr>
          <w:rFonts w:asciiTheme="minorHAnsi" w:eastAsia="Tahoma" w:hAnsiTheme="minorHAnsi" w:cstheme="minorHAnsi"/>
          <w:color w:val="000000"/>
          <w:spacing w:val="4"/>
          <w:sz w:val="22"/>
          <w:szCs w:val="22"/>
          <w:lang w:val="fr-FR"/>
        </w:rPr>
        <w:t>protection des données</w:t>
      </w:r>
      <w:r>
        <w:rPr>
          <w:rFonts w:asciiTheme="minorHAnsi" w:eastAsia="Tahoma" w:hAnsiTheme="minorHAnsi" w:cstheme="minorHAnsi"/>
          <w:color w:val="000000"/>
          <w:spacing w:val="4"/>
          <w:sz w:val="22"/>
          <w:szCs w:val="22"/>
          <w:lang w:val="fr-FR"/>
        </w:rPr>
        <w:t>.</w:t>
      </w:r>
      <w:r>
        <w:rPr>
          <w:rStyle w:val="Appelnotedebasdep"/>
          <w:rFonts w:asciiTheme="minorHAnsi" w:eastAsia="Tahoma" w:hAnsiTheme="minorHAnsi" w:cstheme="minorHAnsi"/>
          <w:color w:val="000000"/>
          <w:spacing w:val="4"/>
          <w:sz w:val="22"/>
          <w:szCs w:val="22"/>
          <w:lang w:val="fr-FR"/>
        </w:rPr>
        <w:footnoteReference w:id="33"/>
      </w:r>
      <w:r w:rsidRPr="006D25C7">
        <w:rPr>
          <w:rFonts w:asciiTheme="minorHAnsi" w:eastAsia="Tahoma" w:hAnsiTheme="minorHAnsi" w:cstheme="minorHAnsi"/>
          <w:color w:val="0462C1"/>
          <w:sz w:val="22"/>
          <w:szCs w:val="22"/>
          <w:lang w:val="fr-FR"/>
        </w:rPr>
        <w:t xml:space="preserve"> </w:t>
      </w:r>
    </w:p>
    <w:p w14:paraId="0FF85AC0" w14:textId="77777777" w:rsidR="006D25C7" w:rsidRDefault="006D25C7" w:rsidP="006D25C7">
      <w:pPr>
        <w:spacing w:line="294" w:lineRule="exact"/>
        <w:ind w:right="142"/>
        <w:jc w:val="both"/>
        <w:rPr>
          <w:rFonts w:asciiTheme="minorHAnsi" w:eastAsia="Tahoma" w:hAnsiTheme="minorHAnsi" w:cstheme="minorHAnsi"/>
          <w:color w:val="000000"/>
          <w:spacing w:val="7"/>
          <w:sz w:val="22"/>
          <w:szCs w:val="22"/>
          <w:lang w:val="fr-FR"/>
        </w:rPr>
      </w:pPr>
    </w:p>
    <w:p w14:paraId="5B0086D2" w14:textId="75671E0A" w:rsidR="006D25C7" w:rsidRDefault="006D25C7" w:rsidP="006D25C7">
      <w:pPr>
        <w:spacing w:before="15" w:after="239" w:line="294" w:lineRule="exact"/>
        <w:ind w:right="144"/>
        <w:jc w:val="both"/>
        <w:rPr>
          <w:rFonts w:asciiTheme="minorHAnsi" w:eastAsia="Tahoma" w:hAnsiTheme="minorHAnsi" w:cstheme="minorHAnsi"/>
          <w:color w:val="000000"/>
          <w:spacing w:val="7"/>
          <w:sz w:val="22"/>
          <w:szCs w:val="22"/>
          <w:lang w:val="fr-FR"/>
        </w:rPr>
      </w:pPr>
      <w:r w:rsidRPr="006D25C7">
        <w:rPr>
          <w:rFonts w:asciiTheme="minorHAnsi" w:eastAsia="Tahoma" w:hAnsiTheme="minorHAnsi" w:cstheme="minorHAnsi"/>
          <w:color w:val="000000"/>
          <w:spacing w:val="7"/>
          <w:sz w:val="22"/>
          <w:szCs w:val="22"/>
          <w:lang w:val="fr-FR"/>
        </w:rPr>
        <w:t xml:space="preserve">Il y a lieu de se référer à la jurisprudence de la Cour européenne des droits de l’homme pour connaître les </w:t>
      </w:r>
      <w:r w:rsidRPr="006D25C7">
        <w:rPr>
          <w:rFonts w:asciiTheme="minorHAnsi" w:eastAsia="Arial" w:hAnsiTheme="minorHAnsi" w:cstheme="minorHAnsi"/>
          <w:bCs/>
          <w:i/>
          <w:color w:val="000000"/>
          <w:spacing w:val="7"/>
          <w:sz w:val="22"/>
          <w:szCs w:val="22"/>
          <w:lang w:val="fr-FR"/>
        </w:rPr>
        <w:t>garde-</w:t>
      </w:r>
      <w:r w:rsidRPr="006D25C7">
        <w:rPr>
          <w:rFonts w:asciiTheme="minorHAnsi" w:eastAsia="Tahoma" w:hAnsiTheme="minorHAnsi" w:cstheme="minorHAnsi"/>
          <w:bCs/>
          <w:i/>
          <w:color w:val="000000"/>
          <w:spacing w:val="7"/>
          <w:sz w:val="22"/>
          <w:szCs w:val="22"/>
          <w:lang w:val="fr-FR"/>
        </w:rPr>
        <w:t>fous que l’employeur est tenu de respecter</w:t>
      </w:r>
      <w:r w:rsidRPr="006D25C7">
        <w:rPr>
          <w:rFonts w:asciiTheme="minorHAnsi" w:eastAsia="Tahoma" w:hAnsiTheme="minorHAnsi" w:cstheme="minorHAnsi"/>
          <w:b/>
          <w:i/>
          <w:color w:val="000000"/>
          <w:spacing w:val="7"/>
          <w:sz w:val="22"/>
          <w:szCs w:val="22"/>
          <w:lang w:val="fr-FR"/>
        </w:rPr>
        <w:t xml:space="preserve"> </w:t>
      </w:r>
      <w:r w:rsidRPr="006D25C7">
        <w:rPr>
          <w:rFonts w:asciiTheme="minorHAnsi" w:eastAsia="Tahoma" w:hAnsiTheme="minorHAnsi" w:cstheme="minorHAnsi"/>
          <w:color w:val="000000"/>
          <w:spacing w:val="7"/>
          <w:sz w:val="22"/>
          <w:szCs w:val="22"/>
          <w:lang w:val="fr-FR"/>
        </w:rPr>
        <w:t>lorsqu’il prend connaissance du contenu de communications électroniques envoyées ou reçues par son travailleur, dans un contexte dans lequel ce dernier est en droit de s’attendre à ce que ces communications relèvent de</w:t>
      </w:r>
      <w:r>
        <w:rPr>
          <w:rFonts w:asciiTheme="minorHAnsi" w:eastAsia="Tahoma" w:hAnsiTheme="minorHAnsi" w:cstheme="minorHAnsi"/>
          <w:color w:val="000000"/>
          <w:spacing w:val="7"/>
          <w:sz w:val="22"/>
          <w:szCs w:val="22"/>
          <w:lang w:val="fr-FR"/>
        </w:rPr>
        <w:t xml:space="preserve"> </w:t>
      </w:r>
      <w:r w:rsidRPr="006D25C7">
        <w:rPr>
          <w:rFonts w:asciiTheme="minorHAnsi" w:eastAsia="Tahoma" w:hAnsiTheme="minorHAnsi" w:cstheme="minorHAnsi"/>
          <w:color w:val="000000"/>
          <w:sz w:val="22"/>
          <w:szCs w:val="22"/>
          <w:lang w:val="fr-FR"/>
        </w:rPr>
        <w:t>sa sphère privée</w:t>
      </w:r>
      <w:r>
        <w:rPr>
          <w:rFonts w:asciiTheme="minorHAnsi" w:eastAsia="Tahoma" w:hAnsiTheme="minorHAnsi" w:cstheme="minorHAnsi"/>
          <w:color w:val="000000"/>
          <w:sz w:val="22"/>
          <w:szCs w:val="22"/>
          <w:lang w:val="fr-FR"/>
        </w:rPr>
        <w:t xml:space="preserve">. </w:t>
      </w:r>
      <w:r>
        <w:rPr>
          <w:rFonts w:asciiTheme="minorHAnsi" w:eastAsia="Tahoma" w:hAnsiTheme="minorHAnsi" w:cstheme="minorHAnsi"/>
          <w:color w:val="000000"/>
          <w:spacing w:val="7"/>
          <w:sz w:val="22"/>
          <w:szCs w:val="22"/>
          <w:lang w:val="fr-FR"/>
        </w:rPr>
        <w:t>Ainsi, CEDH</w:t>
      </w:r>
      <w:r w:rsidRPr="006D25C7">
        <w:rPr>
          <w:rFonts w:asciiTheme="minorHAnsi" w:eastAsia="Tahoma" w:hAnsiTheme="minorHAnsi" w:cstheme="minorHAnsi"/>
          <w:color w:val="000000"/>
          <w:spacing w:val="7"/>
          <w:sz w:val="22"/>
          <w:szCs w:val="22"/>
          <w:lang w:val="fr-FR"/>
        </w:rPr>
        <w:t xml:space="preserve"> ne s’oppose pas à ce que l’employeur puisse surveiller les communications de ses travailleurs, voire qu’il procède à un licenciement sur la base d’éléments récoltés via la surveillance des communications. </w:t>
      </w:r>
    </w:p>
    <w:p w14:paraId="1B318C68" w14:textId="6004D445" w:rsidR="006D25C7" w:rsidRPr="006D25C7" w:rsidRDefault="006D25C7" w:rsidP="006D25C7">
      <w:pPr>
        <w:spacing w:before="15" w:after="239" w:line="294" w:lineRule="exact"/>
        <w:ind w:right="144"/>
        <w:jc w:val="both"/>
        <w:rPr>
          <w:rFonts w:asciiTheme="minorHAnsi" w:eastAsia="Tahoma" w:hAnsiTheme="minorHAnsi" w:cstheme="minorHAnsi"/>
          <w:color w:val="000000"/>
          <w:spacing w:val="7"/>
          <w:sz w:val="22"/>
          <w:szCs w:val="22"/>
          <w:lang w:val="fr-FR"/>
        </w:rPr>
      </w:pPr>
      <w:r w:rsidRPr="006D25C7">
        <w:rPr>
          <w:rFonts w:asciiTheme="minorHAnsi" w:eastAsia="Tahoma" w:hAnsiTheme="minorHAnsi" w:cstheme="minorHAnsi"/>
          <w:color w:val="000000"/>
          <w:spacing w:val="7"/>
          <w:sz w:val="22"/>
          <w:szCs w:val="22"/>
          <w:lang w:val="fr-FR"/>
        </w:rPr>
        <w:t>En revanche, la Cour met en avant les garanties auxquelles doit se conformer l’employeur lorsqu’il prend des mesures de surveillance des communications de ses travailleurs, garanties dont l’État est censé veiller au respect</w:t>
      </w:r>
      <w:r>
        <w:rPr>
          <w:rStyle w:val="Appelnotedebasdep"/>
          <w:rFonts w:asciiTheme="minorHAnsi" w:eastAsia="Tahoma" w:hAnsiTheme="minorHAnsi" w:cstheme="minorHAnsi"/>
          <w:color w:val="000000"/>
          <w:spacing w:val="7"/>
          <w:sz w:val="22"/>
          <w:szCs w:val="22"/>
          <w:lang w:val="fr-FR"/>
        </w:rPr>
        <w:footnoteReference w:id="34"/>
      </w:r>
      <w:r w:rsidRPr="006D25C7">
        <w:rPr>
          <w:rFonts w:asciiTheme="minorHAnsi" w:eastAsia="Tahoma" w:hAnsiTheme="minorHAnsi" w:cstheme="minorHAnsi"/>
          <w:color w:val="000000"/>
          <w:spacing w:val="7"/>
          <w:sz w:val="22"/>
          <w:szCs w:val="22"/>
          <w:lang w:val="fr-FR"/>
        </w:rPr>
        <w:t xml:space="preserve"> (. Cet arrêt confirme qu’un contrôle des communications électroniques des travailleurs est possible, pour peu que les conditions traditionnelles à une ingérence dans la « vie privée » soient respectées : </w:t>
      </w:r>
      <w:r w:rsidRPr="006D25C7">
        <w:rPr>
          <w:rFonts w:asciiTheme="minorHAnsi" w:eastAsia="Arial" w:hAnsiTheme="minorHAnsi" w:cstheme="minorHAnsi"/>
          <w:bCs/>
          <w:color w:val="000000"/>
          <w:spacing w:val="7"/>
          <w:sz w:val="22"/>
          <w:szCs w:val="22"/>
          <w:lang w:val="fr-FR"/>
        </w:rPr>
        <w:t>finalité, proportionnalité et transparence</w:t>
      </w:r>
      <w:r>
        <w:rPr>
          <w:rStyle w:val="Appelnotedebasdep"/>
          <w:rFonts w:asciiTheme="minorHAnsi" w:eastAsia="Arial" w:hAnsiTheme="minorHAnsi" w:cstheme="minorHAnsi"/>
          <w:bCs/>
          <w:color w:val="000000"/>
          <w:spacing w:val="7"/>
          <w:sz w:val="22"/>
          <w:szCs w:val="22"/>
          <w:lang w:val="fr-FR"/>
        </w:rPr>
        <w:footnoteReference w:id="35"/>
      </w:r>
      <w:r>
        <w:rPr>
          <w:rFonts w:asciiTheme="minorHAnsi" w:eastAsia="Arial" w:hAnsiTheme="minorHAnsi" w:cstheme="minorHAnsi"/>
          <w:bCs/>
          <w:color w:val="000000"/>
          <w:spacing w:val="7"/>
          <w:sz w:val="22"/>
          <w:szCs w:val="22"/>
          <w:lang w:val="fr-FR"/>
        </w:rPr>
        <w:t>.</w:t>
      </w:r>
    </w:p>
    <w:p w14:paraId="35738069" w14:textId="1AADD037" w:rsidR="006D25C7" w:rsidRDefault="006D25C7" w:rsidP="006D25C7">
      <w:pPr>
        <w:widowControl/>
        <w:suppressAutoHyphens w:val="0"/>
        <w:autoSpaceDN/>
        <w:spacing w:before="240" w:after="193" w:line="317" w:lineRule="exact"/>
        <w:ind w:right="72"/>
        <w:jc w:val="both"/>
        <w:rPr>
          <w:rFonts w:ascii="Calibri" w:eastAsia="Calibri" w:hAnsi="Calibri" w:cs="Calibri"/>
          <w:kern w:val="0"/>
          <w:sz w:val="22"/>
          <w:szCs w:val="22"/>
          <w:lang w:val="fr-FR" w:eastAsia="en-US"/>
        </w:rPr>
      </w:pPr>
      <w:r>
        <w:rPr>
          <w:rFonts w:ascii="Calibri" w:eastAsia="Calibri" w:hAnsi="Calibri" w:cs="Calibri"/>
          <w:kern w:val="0"/>
          <w:sz w:val="22"/>
          <w:szCs w:val="22"/>
          <w:lang w:val="fr-FR" w:eastAsia="en-US"/>
        </w:rPr>
        <w:t>b.</w:t>
      </w:r>
    </w:p>
    <w:p w14:paraId="4E6FDC6B" w14:textId="24B0057E" w:rsidR="00716701" w:rsidRDefault="00716701" w:rsidP="0071670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Pour établir son dommage, PROMAS produit des courriels adressé</w:t>
      </w:r>
      <w:r>
        <w:rPr>
          <w:rFonts w:ascii="Calibri" w:eastAsia="Calibri" w:hAnsi="Calibri" w:cs="Calibri"/>
          <w:bCs/>
          <w:kern w:val="0"/>
          <w:sz w:val="22"/>
          <w:szCs w:val="22"/>
          <w:lang w:eastAsia="en-US"/>
        </w:rPr>
        <w:t>s</w:t>
      </w:r>
      <w:r w:rsidRPr="00670028">
        <w:rPr>
          <w:rFonts w:ascii="Calibri" w:eastAsia="Calibri" w:hAnsi="Calibri" w:cs="Calibri"/>
          <w:bCs/>
          <w:kern w:val="0"/>
          <w:sz w:val="22"/>
          <w:szCs w:val="22"/>
          <w:lang w:eastAsia="en-US"/>
        </w:rPr>
        <w:t xml:space="preserve"> à jf</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@promas.be, envoyés par des tiers (clients ou prospects)</w:t>
      </w:r>
      <w:r>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 xml:space="preserve"> alors que </w:t>
      </w:r>
      <w:r>
        <w:rPr>
          <w:rFonts w:ascii="Calibri" w:eastAsia="Calibri" w:hAnsi="Calibri" w:cs="Calibri"/>
          <w:bCs/>
          <w:kern w:val="0"/>
          <w:sz w:val="22"/>
          <w:szCs w:val="22"/>
          <w:lang w:eastAsia="en-US"/>
        </w:rPr>
        <w:t>M</w:t>
      </w:r>
      <w:r w:rsidRPr="00670028">
        <w:rPr>
          <w:rFonts w:ascii="Calibri" w:eastAsia="Calibri" w:hAnsi="Calibri" w:cs="Calibri"/>
          <w:bCs/>
          <w:kern w:val="0"/>
          <w:sz w:val="22"/>
          <w:szCs w:val="22"/>
          <w:lang w:eastAsia="en-US"/>
        </w:rPr>
        <w:t xml:space="preserve">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ne travaillait plus pour le compte de PROMAS.</w:t>
      </w:r>
    </w:p>
    <w:p w14:paraId="5B0A7875" w14:textId="22D1B414" w:rsidR="00716701" w:rsidRPr="00670028" w:rsidRDefault="00716701" w:rsidP="0071670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Monsieur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soutient que les pièces 13,14, 17 et 18 de son dossier doivent être écartés des débats – et ne peuvent servir à démontrer un quelconque dommage dans le chef de la société PROMAS</w:t>
      </w:r>
      <w:r>
        <w:rPr>
          <w:rFonts w:ascii="Calibri" w:eastAsia="Calibri" w:hAnsi="Calibri" w:cs="Calibri"/>
          <w:bCs/>
          <w:kern w:val="0"/>
          <w:sz w:val="22"/>
          <w:szCs w:val="22"/>
          <w:lang w:eastAsia="en-US"/>
        </w:rPr>
        <w:t xml:space="preserve"> </w:t>
      </w:r>
      <w:r w:rsidRPr="00670028">
        <w:rPr>
          <w:rFonts w:ascii="Calibri" w:eastAsia="Calibri" w:hAnsi="Calibri" w:cs="Calibri"/>
          <w:bCs/>
          <w:kern w:val="0"/>
          <w:sz w:val="22"/>
          <w:szCs w:val="22"/>
          <w:lang w:eastAsia="en-US"/>
        </w:rPr>
        <w:t xml:space="preserve">- car elles sont irrégulières. </w:t>
      </w:r>
    </w:p>
    <w:p w14:paraId="3BBC0F19" w14:textId="77777777" w:rsidR="00716701" w:rsidRPr="00670028" w:rsidRDefault="00716701" w:rsidP="00716701">
      <w:pPr>
        <w:widowControl/>
        <w:suppressAutoHyphens w:val="0"/>
        <w:autoSpaceDN/>
        <w:spacing w:before="243"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Calibri" w:hAnsi="Calibri" w:cs="Calibri"/>
          <w:bCs/>
          <w:kern w:val="0"/>
          <w:sz w:val="22"/>
          <w:szCs w:val="22"/>
          <w:lang w:eastAsia="en-US"/>
        </w:rPr>
        <w:t xml:space="preserve">Selon lui, la production de ces correspondances électroniques viole le droit au respect de la vie privée, notamment consacré par le </w:t>
      </w:r>
      <w:r>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G</w:t>
      </w:r>
      <w:r>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D</w:t>
      </w:r>
      <w:r>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P</w:t>
      </w:r>
      <w:r>
        <w:rPr>
          <w:rFonts w:ascii="Calibri" w:eastAsia="Calibri" w:hAnsi="Calibri" w:cs="Calibri"/>
          <w:bCs/>
          <w:kern w:val="0"/>
          <w:sz w:val="22"/>
          <w:szCs w:val="22"/>
          <w:lang w:eastAsia="en-US"/>
        </w:rPr>
        <w:t>.</w:t>
      </w:r>
      <w:r w:rsidRPr="00670028">
        <w:rPr>
          <w:rFonts w:ascii="Calibri" w:eastAsia="Calibri" w:hAnsi="Calibri" w:cs="Calibri"/>
          <w:bCs/>
          <w:kern w:val="0"/>
          <w:sz w:val="22"/>
          <w:szCs w:val="22"/>
          <w:lang w:eastAsia="en-US"/>
        </w:rPr>
        <w:t>,</w:t>
      </w:r>
      <w:r w:rsidRPr="00670028">
        <w:rPr>
          <w:rFonts w:ascii="Calibri" w:eastAsia="Times New Roman" w:hAnsi="Calibri" w:cs="Calibri"/>
          <w:color w:val="000000"/>
          <w:kern w:val="0"/>
          <w:sz w:val="22"/>
          <w:szCs w:val="22"/>
          <w:lang w:val="fr-FR" w:eastAsia="en-US"/>
        </w:rPr>
        <w:t xml:space="preserve"> l'article 124 de la loi du 13 juin 2005 relative aux communications électroniques des articles 314 bis et 259bis du Code pénal et de la C.C.T. n° 81 relative à la protection de la vie privée des travailleurs ä l'égard du contrôle des données de communication électroniques en réseau.</w:t>
      </w:r>
    </w:p>
    <w:p w14:paraId="389C0FD1" w14:textId="77777777" w:rsidR="00716701" w:rsidRPr="00670028" w:rsidRDefault="00716701" w:rsidP="00716701">
      <w:pPr>
        <w:widowControl/>
        <w:suppressAutoHyphens w:val="0"/>
        <w:autoSpaceDN/>
        <w:spacing w:before="243"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A l’analyse de ces pièces, le Tribunal constate que :</w:t>
      </w:r>
    </w:p>
    <w:p w14:paraId="5617A7AE" w14:textId="77777777" w:rsidR="00716701" w:rsidRPr="00670028" w:rsidRDefault="00716701" w:rsidP="00716701">
      <w:pPr>
        <w:widowControl/>
        <w:numPr>
          <w:ilvl w:val="0"/>
          <w:numId w:val="9"/>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La pièce 13 concerne un échange entre </w:t>
      </w:r>
      <w:r w:rsidRPr="00670028">
        <w:rPr>
          <w:rFonts w:ascii="Calibri" w:eastAsia="Calibri" w:hAnsi="Calibri" w:cs="Calibri"/>
          <w:bCs/>
          <w:kern w:val="0"/>
          <w:sz w:val="22"/>
          <w:szCs w:val="22"/>
          <w:lang w:eastAsia="en-US"/>
        </w:rPr>
        <w:t>jf@mldconcept.com</w:t>
      </w:r>
      <w:r w:rsidRPr="00670028">
        <w:rPr>
          <w:rFonts w:ascii="Calibri" w:eastAsia="Times New Roman" w:hAnsi="Calibri" w:cs="Calibri"/>
          <w:color w:val="000000"/>
          <w:kern w:val="0"/>
          <w:sz w:val="22"/>
          <w:szCs w:val="22"/>
          <w:lang w:val="fr-FR" w:eastAsia="en-US"/>
        </w:rPr>
        <w:t xml:space="preserve"> et le sous-traitant BROD’IN ; il n’y aucun email concerné par le présent débat ;</w:t>
      </w:r>
    </w:p>
    <w:p w14:paraId="6488A77C" w14:textId="0ACF9954" w:rsidR="00716701" w:rsidRPr="00670028" w:rsidRDefault="00716701" w:rsidP="00716701">
      <w:pPr>
        <w:widowControl/>
        <w:numPr>
          <w:ilvl w:val="0"/>
          <w:numId w:val="9"/>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La pièce 14 est un échange numérique entre l’administrateur </w:t>
      </w:r>
      <w:r w:rsidR="00AA321F">
        <w:rPr>
          <w:rFonts w:ascii="Calibri" w:eastAsia="Times New Roman" w:hAnsi="Calibri" w:cs="Calibri"/>
          <w:color w:val="000000"/>
          <w:kern w:val="0"/>
          <w:sz w:val="22"/>
          <w:szCs w:val="22"/>
          <w:lang w:val="fr-FR" w:eastAsia="en-US"/>
        </w:rPr>
        <w:t>R</w:t>
      </w:r>
      <w:r w:rsidRPr="00670028">
        <w:rPr>
          <w:rFonts w:ascii="Calibri" w:eastAsia="Times New Roman" w:hAnsi="Calibri" w:cs="Calibri"/>
          <w:color w:val="000000"/>
          <w:kern w:val="0"/>
          <w:sz w:val="22"/>
          <w:szCs w:val="22"/>
          <w:lang w:val="fr-FR" w:eastAsia="en-US"/>
        </w:rPr>
        <w:t xml:space="preserve"> et le client Bilia Emond ; il n’y aucun envoi de mail </w:t>
      </w:r>
      <w:r w:rsidRPr="00670028">
        <w:rPr>
          <w:rFonts w:ascii="Calibri" w:eastAsia="Calibri" w:hAnsi="Calibri" w:cs="Calibri"/>
          <w:bCs/>
          <w:kern w:val="0"/>
          <w:sz w:val="22"/>
          <w:szCs w:val="22"/>
          <w:lang w:eastAsia="en-US"/>
        </w:rPr>
        <w:t>à l’adresse jf</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@promas.be;</w:t>
      </w:r>
    </w:p>
    <w:p w14:paraId="698E21C0" w14:textId="1C40A70B" w:rsidR="00716701" w:rsidRPr="00670028" w:rsidRDefault="00716701" w:rsidP="00716701">
      <w:pPr>
        <w:widowControl/>
        <w:numPr>
          <w:ilvl w:val="0"/>
          <w:numId w:val="9"/>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Calibri" w:hAnsi="Calibri" w:cs="Calibri"/>
          <w:bCs/>
          <w:kern w:val="0"/>
          <w:sz w:val="22"/>
          <w:szCs w:val="22"/>
          <w:lang w:val="fr-FR" w:eastAsia="en-US"/>
        </w:rPr>
        <w:t xml:space="preserve">La pièce 17 : le client CSC adresse un courriel, le 24/05/2022, à </w:t>
      </w:r>
      <w:r w:rsidRPr="00670028">
        <w:rPr>
          <w:rFonts w:ascii="Calibri" w:eastAsia="Calibri" w:hAnsi="Calibri" w:cs="Calibri"/>
          <w:bCs/>
          <w:kern w:val="0"/>
          <w:sz w:val="22"/>
          <w:szCs w:val="22"/>
          <w:lang w:eastAsia="en-US"/>
        </w:rPr>
        <w:t>jf</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@promas.be. Ce document démontre que cette adresse est toujours active, plus </w:t>
      </w:r>
      <w:r>
        <w:rPr>
          <w:rFonts w:ascii="Calibri" w:eastAsia="Calibri" w:hAnsi="Calibri" w:cs="Calibri"/>
          <w:bCs/>
          <w:kern w:val="0"/>
          <w:sz w:val="22"/>
          <w:szCs w:val="22"/>
          <w:lang w:eastAsia="en-US"/>
        </w:rPr>
        <w:t>d’</w:t>
      </w:r>
      <w:r w:rsidRPr="00670028">
        <w:rPr>
          <w:rFonts w:ascii="Calibri" w:eastAsia="Calibri" w:hAnsi="Calibri" w:cs="Calibri"/>
          <w:bCs/>
          <w:kern w:val="0"/>
          <w:sz w:val="22"/>
          <w:szCs w:val="22"/>
          <w:lang w:eastAsia="en-US"/>
        </w:rPr>
        <w:t xml:space="preserve">un an après la fin des relations de travail. </w:t>
      </w:r>
      <w:r>
        <w:rPr>
          <w:rFonts w:ascii="Calibri" w:eastAsia="Calibri" w:hAnsi="Calibri" w:cs="Calibri"/>
          <w:bCs/>
          <w:kern w:val="0"/>
          <w:sz w:val="22"/>
          <w:szCs w:val="22"/>
          <w:lang w:eastAsia="en-US"/>
        </w:rPr>
        <w:t xml:space="preserve">Toutefois, </w:t>
      </w:r>
      <w:r w:rsidRPr="00670028">
        <w:rPr>
          <w:rFonts w:ascii="Calibri" w:eastAsia="Calibri" w:hAnsi="Calibri" w:cs="Calibri"/>
          <w:bCs/>
          <w:kern w:val="0"/>
          <w:sz w:val="22"/>
          <w:szCs w:val="22"/>
          <w:lang w:eastAsia="en-US"/>
        </w:rPr>
        <w:t xml:space="preserve">Monsieur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 xml:space="preserve"> y répond via son adresse professionnelle nominative.</w:t>
      </w:r>
    </w:p>
    <w:p w14:paraId="0CB1BD90" w14:textId="14F537FC" w:rsidR="00716701" w:rsidRPr="00F83006" w:rsidRDefault="00716701" w:rsidP="00716701">
      <w:pPr>
        <w:widowControl/>
        <w:numPr>
          <w:ilvl w:val="0"/>
          <w:numId w:val="9"/>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Calibri" w:hAnsi="Calibri" w:cs="Calibri"/>
          <w:bCs/>
          <w:kern w:val="0"/>
          <w:sz w:val="22"/>
          <w:szCs w:val="22"/>
          <w:lang w:eastAsia="en-US"/>
        </w:rPr>
        <w:t>La pièce 18 est identique ; la brasserie Dubuisson s’adresse à jf</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@promas.be et, en retour, </w:t>
      </w:r>
      <w:r>
        <w:rPr>
          <w:rFonts w:ascii="Calibri" w:eastAsia="Calibri" w:hAnsi="Calibri" w:cs="Calibri"/>
          <w:bCs/>
          <w:kern w:val="0"/>
          <w:sz w:val="22"/>
          <w:szCs w:val="22"/>
          <w:lang w:eastAsia="en-US"/>
        </w:rPr>
        <w:t>M</w:t>
      </w:r>
      <w:r w:rsidRPr="00670028">
        <w:rPr>
          <w:rFonts w:ascii="Calibri" w:eastAsia="Calibri" w:hAnsi="Calibri" w:cs="Calibri"/>
          <w:bCs/>
          <w:kern w:val="0"/>
          <w:sz w:val="22"/>
          <w:szCs w:val="22"/>
          <w:lang w:eastAsia="en-US"/>
        </w:rPr>
        <w:t xml:space="preserve">onsieur </w:t>
      </w:r>
      <w:r w:rsidR="00AA321F">
        <w:rPr>
          <w:rFonts w:ascii="Calibri" w:eastAsia="Calibri" w:hAnsi="Calibri" w:cs="Calibri"/>
          <w:bCs/>
          <w:kern w:val="0"/>
          <w:sz w:val="22"/>
          <w:szCs w:val="22"/>
          <w:lang w:eastAsia="en-US"/>
        </w:rPr>
        <w:t>R</w:t>
      </w:r>
      <w:r w:rsidRPr="00670028">
        <w:rPr>
          <w:rFonts w:ascii="Calibri" w:eastAsia="Calibri" w:hAnsi="Calibri" w:cs="Calibri"/>
          <w:bCs/>
          <w:kern w:val="0"/>
          <w:sz w:val="22"/>
          <w:szCs w:val="22"/>
          <w:lang w:eastAsia="en-US"/>
        </w:rPr>
        <w:t xml:space="preserve"> signale l’erreur, au départ de sa propre adresse numérique. </w:t>
      </w:r>
    </w:p>
    <w:p w14:paraId="19C1E5A0" w14:textId="77777777" w:rsidR="00716701" w:rsidRPr="00670028" w:rsidRDefault="00716701" w:rsidP="00716701">
      <w:pPr>
        <w:widowControl/>
        <w:suppressAutoHyphens w:val="0"/>
        <w:autoSpaceDN/>
        <w:spacing w:before="240" w:after="193" w:line="317" w:lineRule="exact"/>
        <w:ind w:left="720" w:right="72"/>
        <w:contextualSpacing/>
        <w:jc w:val="both"/>
        <w:textAlignment w:val="auto"/>
        <w:rPr>
          <w:rFonts w:ascii="Calibri" w:eastAsia="Times New Roman" w:hAnsi="Calibri" w:cs="Calibri"/>
          <w:color w:val="000000"/>
          <w:kern w:val="0"/>
          <w:sz w:val="22"/>
          <w:szCs w:val="22"/>
          <w:lang w:val="fr-FR" w:eastAsia="en-US"/>
        </w:rPr>
      </w:pPr>
    </w:p>
    <w:p w14:paraId="3E92FA53" w14:textId="0124A25F" w:rsidR="00716701" w:rsidRPr="00670028" w:rsidRDefault="00716701" w:rsidP="00716701">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Il est donc établi que l’adresse professionnelle de </w:t>
      </w:r>
      <w:r>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auprès de PROMAS n’a pas été désactivée après son départ, </w:t>
      </w:r>
      <w:r>
        <w:rPr>
          <w:rFonts w:ascii="Calibri" w:eastAsia="Times New Roman" w:hAnsi="Calibri" w:cs="Calibri"/>
          <w:color w:val="000000"/>
          <w:kern w:val="0"/>
          <w:sz w:val="22"/>
          <w:szCs w:val="22"/>
          <w:lang w:val="fr-FR" w:eastAsia="en-US"/>
        </w:rPr>
        <w:t>et</w:t>
      </w:r>
      <w:r w:rsidRPr="00670028">
        <w:rPr>
          <w:rFonts w:ascii="Calibri" w:eastAsia="Times New Roman" w:hAnsi="Calibri" w:cs="Calibri"/>
          <w:color w:val="000000"/>
          <w:kern w:val="0"/>
          <w:sz w:val="22"/>
          <w:szCs w:val="22"/>
          <w:lang w:val="fr-FR" w:eastAsia="en-US"/>
        </w:rPr>
        <w:t xml:space="preserve"> que </w:t>
      </w:r>
      <w:r>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R</w:t>
      </w:r>
      <w:r w:rsidRPr="00670028">
        <w:rPr>
          <w:rFonts w:ascii="Calibri" w:eastAsia="Times New Roman" w:hAnsi="Calibri" w:cs="Calibri"/>
          <w:color w:val="000000"/>
          <w:kern w:val="0"/>
          <w:sz w:val="22"/>
          <w:szCs w:val="22"/>
          <w:lang w:val="fr-FR" w:eastAsia="en-US"/>
        </w:rPr>
        <w:t xml:space="preserve"> </w:t>
      </w:r>
      <w:r>
        <w:rPr>
          <w:rFonts w:ascii="Calibri" w:eastAsia="Times New Roman" w:hAnsi="Calibri" w:cs="Calibri"/>
          <w:color w:val="000000"/>
          <w:kern w:val="0"/>
          <w:sz w:val="22"/>
          <w:szCs w:val="22"/>
          <w:lang w:val="fr-FR" w:eastAsia="en-US"/>
        </w:rPr>
        <w:t>a</w:t>
      </w:r>
      <w:r w:rsidRPr="00670028">
        <w:rPr>
          <w:rFonts w:ascii="Calibri" w:eastAsia="Times New Roman" w:hAnsi="Calibri" w:cs="Calibri"/>
          <w:color w:val="000000"/>
          <w:kern w:val="0"/>
          <w:sz w:val="22"/>
          <w:szCs w:val="22"/>
          <w:lang w:val="fr-FR" w:eastAsia="en-US"/>
        </w:rPr>
        <w:t xml:space="preserve"> continu</w:t>
      </w:r>
      <w:r>
        <w:rPr>
          <w:rFonts w:ascii="Calibri" w:eastAsia="Times New Roman" w:hAnsi="Calibri" w:cs="Calibri"/>
          <w:color w:val="000000"/>
          <w:kern w:val="0"/>
          <w:sz w:val="22"/>
          <w:szCs w:val="22"/>
          <w:lang w:val="fr-FR" w:eastAsia="en-US"/>
        </w:rPr>
        <w:t>é</w:t>
      </w:r>
      <w:r w:rsidRPr="00670028">
        <w:rPr>
          <w:rFonts w:ascii="Calibri" w:eastAsia="Times New Roman" w:hAnsi="Calibri" w:cs="Calibri"/>
          <w:color w:val="000000"/>
          <w:kern w:val="0"/>
          <w:sz w:val="22"/>
          <w:szCs w:val="22"/>
          <w:lang w:val="fr-FR" w:eastAsia="en-US"/>
        </w:rPr>
        <w:t xml:space="preserve"> de la consulter. </w:t>
      </w:r>
    </w:p>
    <w:p w14:paraId="279A1BC5" w14:textId="77777777" w:rsidR="00716701" w:rsidRPr="00670028" w:rsidRDefault="00716701" w:rsidP="00716701">
      <w:pPr>
        <w:widowControl/>
        <w:suppressAutoHyphens w:val="0"/>
        <w:autoSpaceDN/>
        <w:spacing w:after="160" w:line="256" w:lineRule="auto"/>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Grâce à cette consultation, il a constaté que des clients de PROMAS sollicitaient également des commandes auprès de MLD CONCEPT, et par l’intermédiaire de son ancien représentant de commerce. </w:t>
      </w:r>
    </w:p>
    <w:p w14:paraId="04369CC0" w14:textId="3F10E207" w:rsidR="006D25C7" w:rsidRPr="006D25C7" w:rsidRDefault="006D25C7" w:rsidP="006D25C7">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Calibri" w:hAnsi="Calibri" w:cs="Calibri"/>
          <w:kern w:val="0"/>
          <w:sz w:val="22"/>
          <w:szCs w:val="22"/>
          <w:lang w:eastAsia="en-US"/>
        </w:rPr>
        <w:t xml:space="preserve">En l’espèce, </w:t>
      </w:r>
      <w:r w:rsidR="00716701">
        <w:rPr>
          <w:rFonts w:ascii="Calibri" w:eastAsia="Calibri" w:hAnsi="Calibri" w:cs="Calibri"/>
          <w:kern w:val="0"/>
          <w:sz w:val="22"/>
          <w:szCs w:val="22"/>
          <w:lang w:eastAsia="en-US"/>
        </w:rPr>
        <w:t>o</w:t>
      </w:r>
      <w:r w:rsidRPr="00670028">
        <w:rPr>
          <w:rFonts w:ascii="Calibri" w:eastAsia="Times New Roman" w:hAnsi="Calibri" w:cs="Calibri"/>
          <w:color w:val="000000"/>
          <w:kern w:val="0"/>
          <w:sz w:val="22"/>
          <w:szCs w:val="22"/>
          <w:lang w:val="fr-FR" w:eastAsia="en-US"/>
        </w:rPr>
        <w:t xml:space="preserve">n ignore si la société PROMAS et </w:t>
      </w:r>
      <w:r>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avaient convenu de la fermeture de l’adresse email après la fin des relations professionnelles. </w:t>
      </w:r>
    </w:p>
    <w:p w14:paraId="26D4C6C5" w14:textId="77777777" w:rsidR="006D25C7" w:rsidRPr="00670028" w:rsidRDefault="006D25C7" w:rsidP="006D25C7">
      <w:pPr>
        <w:widowControl/>
        <w:suppressAutoHyphens w:val="0"/>
        <w:autoSpaceDN/>
        <w:spacing w:before="240" w:after="193" w:line="317" w:lineRule="exact"/>
        <w:ind w:right="72"/>
        <w:jc w:val="both"/>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D’une part, on ne peut soutenir que l’ancien employeur PROMAS ait procédé à un « contrôle » des données électroniques puisque les courriels concernés ont été adressés par erreur. D’autre part, si la découverte de ces courriels avait été intentionnelle, le contrôle de l’employeur s’inscrivait dans la protection de ses intérêts économiques. </w:t>
      </w:r>
    </w:p>
    <w:p w14:paraId="4BDA3A39" w14:textId="175C2D4E" w:rsidR="006D25C7" w:rsidRDefault="006D25C7" w:rsidP="006D25C7">
      <w:pPr>
        <w:widowControl/>
        <w:suppressAutoHyphens w:val="0"/>
        <w:autoSpaceDN/>
        <w:spacing w:before="240" w:after="193" w:line="317" w:lineRule="exact"/>
        <w:ind w:right="72"/>
        <w:jc w:val="both"/>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L’ingérence dans la v</w:t>
      </w:r>
      <w:r>
        <w:rPr>
          <w:rFonts w:ascii="Calibri" w:eastAsia="Calibri" w:hAnsi="Calibri" w:cs="Calibri"/>
          <w:bCs/>
          <w:kern w:val="0"/>
          <w:sz w:val="22"/>
          <w:szCs w:val="22"/>
          <w:lang w:eastAsia="en-US"/>
        </w:rPr>
        <w:t>i</w:t>
      </w:r>
      <w:r w:rsidRPr="00670028">
        <w:rPr>
          <w:rFonts w:ascii="Calibri" w:eastAsia="Calibri" w:hAnsi="Calibri" w:cs="Calibri"/>
          <w:bCs/>
          <w:kern w:val="0"/>
          <w:sz w:val="22"/>
          <w:szCs w:val="22"/>
          <w:lang w:eastAsia="en-US"/>
        </w:rPr>
        <w:t xml:space="preserve">e privée de </w:t>
      </w:r>
      <w:r>
        <w:rPr>
          <w:rFonts w:ascii="Calibri" w:eastAsia="Calibri" w:hAnsi="Calibri" w:cs="Calibri"/>
          <w:bCs/>
          <w:kern w:val="0"/>
          <w:sz w:val="22"/>
          <w:szCs w:val="22"/>
          <w:lang w:eastAsia="en-US"/>
        </w:rPr>
        <w:t>M</w:t>
      </w:r>
      <w:r w:rsidRPr="00670028">
        <w:rPr>
          <w:rFonts w:ascii="Calibri" w:eastAsia="Calibri" w:hAnsi="Calibri" w:cs="Calibri"/>
          <w:bCs/>
          <w:kern w:val="0"/>
          <w:sz w:val="22"/>
          <w:szCs w:val="22"/>
          <w:lang w:eastAsia="en-US"/>
        </w:rPr>
        <w:t xml:space="preserve">onsieur </w:t>
      </w:r>
      <w:r w:rsidR="00AA321F">
        <w:rPr>
          <w:rFonts w:ascii="Calibri" w:eastAsia="Calibri" w:hAnsi="Calibri" w:cs="Calibri"/>
          <w:bCs/>
          <w:kern w:val="0"/>
          <w:sz w:val="22"/>
          <w:szCs w:val="22"/>
          <w:lang w:eastAsia="en-US"/>
        </w:rPr>
        <w:t>K</w:t>
      </w:r>
      <w:r w:rsidRPr="00670028">
        <w:rPr>
          <w:rFonts w:ascii="Calibri" w:eastAsia="Calibri" w:hAnsi="Calibri" w:cs="Calibri"/>
          <w:bCs/>
          <w:kern w:val="0"/>
          <w:sz w:val="22"/>
          <w:szCs w:val="22"/>
          <w:lang w:eastAsia="en-US"/>
        </w:rPr>
        <w:t xml:space="preserve"> est tout à fait négligeable, puisque cette adresse email n’était plus utilisée par ses soins depuis son départ de la société PROMAS, le 1</w:t>
      </w:r>
      <w:r w:rsidRPr="00670028">
        <w:rPr>
          <w:rFonts w:ascii="Calibri" w:eastAsia="Calibri" w:hAnsi="Calibri" w:cs="Calibri"/>
          <w:bCs/>
          <w:kern w:val="0"/>
          <w:sz w:val="22"/>
          <w:szCs w:val="22"/>
          <w:vertAlign w:val="superscript"/>
          <w:lang w:eastAsia="en-US"/>
        </w:rPr>
        <w:t>er</w:t>
      </w:r>
      <w:r>
        <w:rPr>
          <w:rFonts w:ascii="Calibri" w:eastAsia="Calibri" w:hAnsi="Calibri" w:cs="Calibri"/>
          <w:bCs/>
          <w:kern w:val="0"/>
          <w:sz w:val="22"/>
          <w:szCs w:val="22"/>
          <w:lang w:eastAsia="en-US"/>
        </w:rPr>
        <w:t> </w:t>
      </w:r>
      <w:r w:rsidRPr="00670028">
        <w:rPr>
          <w:rFonts w:ascii="Calibri" w:eastAsia="Calibri" w:hAnsi="Calibri" w:cs="Calibri"/>
          <w:bCs/>
          <w:kern w:val="0"/>
          <w:sz w:val="22"/>
          <w:szCs w:val="22"/>
          <w:lang w:eastAsia="en-US"/>
        </w:rPr>
        <w:t xml:space="preserve">avril 2021. </w:t>
      </w:r>
    </w:p>
    <w:p w14:paraId="379D7EC3" w14:textId="0932AAA9" w:rsidR="00F77BF3" w:rsidRDefault="00F77BF3" w:rsidP="006D25C7">
      <w:pPr>
        <w:widowControl/>
        <w:suppressAutoHyphens w:val="0"/>
        <w:autoSpaceDN/>
        <w:spacing w:before="240" w:after="193" w:line="317" w:lineRule="exact"/>
        <w:ind w:right="72"/>
        <w:jc w:val="both"/>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 xml:space="preserve">Néanmoins, il apparait que l’adresse professionnelle de monsieur </w:t>
      </w:r>
      <w:r w:rsidR="00AA321F">
        <w:rPr>
          <w:rFonts w:ascii="Calibri" w:eastAsia="Calibri" w:hAnsi="Calibri" w:cs="Calibri"/>
          <w:bCs/>
          <w:kern w:val="0"/>
          <w:sz w:val="22"/>
          <w:szCs w:val="22"/>
          <w:lang w:eastAsia="en-US"/>
        </w:rPr>
        <w:t>K</w:t>
      </w:r>
      <w:r>
        <w:rPr>
          <w:rFonts w:ascii="Calibri" w:eastAsia="Calibri" w:hAnsi="Calibri" w:cs="Calibri"/>
          <w:bCs/>
          <w:kern w:val="0"/>
          <w:sz w:val="22"/>
          <w:szCs w:val="22"/>
          <w:lang w:eastAsia="en-US"/>
        </w:rPr>
        <w:t xml:space="preserve"> est restée active plus de 13 après son départ. Or, ce fait contrevient au principe de finalité du RGPD</w:t>
      </w:r>
      <w:r w:rsidR="00716701">
        <w:rPr>
          <w:rFonts w:ascii="Calibri" w:eastAsia="Calibri" w:hAnsi="Calibri" w:cs="Calibri"/>
          <w:bCs/>
          <w:kern w:val="0"/>
          <w:sz w:val="22"/>
          <w:szCs w:val="22"/>
          <w:lang w:eastAsia="en-US"/>
        </w:rPr>
        <w:t>, lequel s’oppose à la conservation des données dans un délai sans raison valable. C’est en ce sens qu’a décidé l’Autorité de protection des données dans un décision du 20/09/2020, motivée comme suit :</w:t>
      </w:r>
    </w:p>
    <w:p w14:paraId="57BC5A99" w14:textId="437AA293" w:rsidR="00716701" w:rsidRPr="00651020" w:rsidRDefault="00716701" w:rsidP="00716701">
      <w:pPr>
        <w:widowControl/>
        <w:suppressAutoHyphens w:val="0"/>
        <w:autoSpaceDN/>
        <w:spacing w:before="240" w:after="193" w:line="317" w:lineRule="exact"/>
        <w:ind w:left="708" w:right="72"/>
        <w:jc w:val="both"/>
        <w:rPr>
          <w:rFonts w:asciiTheme="minorHAnsi" w:eastAsia="Calibri" w:hAnsiTheme="minorHAnsi" w:cstheme="minorHAnsi"/>
          <w:i/>
          <w:iCs/>
          <w:kern w:val="0"/>
          <w:sz w:val="22"/>
          <w:szCs w:val="22"/>
          <w:lang w:eastAsia="en-US"/>
        </w:rPr>
      </w:pPr>
      <w:r w:rsidRPr="00651020">
        <w:rPr>
          <w:rFonts w:asciiTheme="minorHAnsi" w:eastAsia="Tahoma" w:hAnsiTheme="minorHAnsi" w:cstheme="minorHAnsi"/>
          <w:i/>
          <w:iCs/>
          <w:color w:val="000000"/>
          <w:spacing w:val="4"/>
          <w:sz w:val="22"/>
          <w:szCs w:val="22"/>
          <w:lang w:val="fr-FR"/>
        </w:rPr>
        <w:t xml:space="preserve">« </w:t>
      </w:r>
      <w:r w:rsidRPr="00651020">
        <w:rPr>
          <w:rFonts w:asciiTheme="minorHAnsi" w:eastAsia="Arial" w:hAnsiTheme="minorHAnsi" w:cstheme="minorHAnsi"/>
          <w:i/>
          <w:iCs/>
          <w:color w:val="000000"/>
          <w:spacing w:val="4"/>
          <w:sz w:val="22"/>
          <w:szCs w:val="22"/>
          <w:lang w:val="fr-FR"/>
        </w:rPr>
        <w:t xml:space="preserve">afin de se conformer au principe de finalité (article 5.1b) du RGPD), combiné aux principes de minimisation (article 5.1 c) du RGPD) et de limitation du délai de conservation (article 5.1 e) du RGPD), il incombe au responsable de traitement de bloquer la messagerie électronique des titulaires de celles-ci ayant cessé leurs fonctions au plus tard le jour de leur départ effectif. </w:t>
      </w:r>
      <w:r w:rsidRPr="00651020">
        <w:rPr>
          <w:rFonts w:asciiTheme="minorHAnsi" w:eastAsia="Tahoma" w:hAnsiTheme="minorHAnsi" w:cstheme="minorHAnsi"/>
          <w:i/>
          <w:iCs/>
          <w:color w:val="000000"/>
          <w:spacing w:val="4"/>
          <w:sz w:val="22"/>
          <w:szCs w:val="22"/>
          <w:lang w:val="fr-FR"/>
        </w:rPr>
        <w:t>(...)</w:t>
      </w:r>
      <w:r w:rsidRPr="00651020">
        <w:rPr>
          <w:rFonts w:asciiTheme="minorHAnsi" w:eastAsia="Arial" w:hAnsiTheme="minorHAnsi" w:cstheme="minorHAnsi"/>
          <w:i/>
          <w:iCs/>
          <w:color w:val="000000"/>
          <w:spacing w:val="4"/>
          <w:sz w:val="22"/>
          <w:szCs w:val="22"/>
          <w:lang w:val="fr-FR"/>
        </w:rPr>
        <w:t xml:space="preserve"> En fonction du contexte et, en particulier, du degré de responsabilité exercé par la personne concernée </w:t>
      </w:r>
      <w:r w:rsidRPr="00651020">
        <w:rPr>
          <w:rFonts w:asciiTheme="minorHAnsi" w:eastAsia="Tahoma" w:hAnsiTheme="minorHAnsi" w:cstheme="minorHAnsi"/>
          <w:i/>
          <w:iCs/>
          <w:color w:val="000000"/>
          <w:spacing w:val="4"/>
          <w:sz w:val="22"/>
          <w:szCs w:val="22"/>
          <w:lang w:val="fr-FR"/>
        </w:rPr>
        <w:t xml:space="preserve">(...) </w:t>
      </w:r>
      <w:r w:rsidRPr="00651020">
        <w:rPr>
          <w:rFonts w:asciiTheme="minorHAnsi" w:eastAsia="Arial" w:hAnsiTheme="minorHAnsi" w:cstheme="minorHAnsi"/>
          <w:i/>
          <w:iCs/>
          <w:color w:val="000000"/>
          <w:spacing w:val="4"/>
          <w:sz w:val="22"/>
          <w:szCs w:val="22"/>
          <w:lang w:val="fr-FR"/>
        </w:rPr>
        <w:t xml:space="preserve">un délai plus long peut être admis ne pouvant idéalement dépasser 3 mois </w:t>
      </w:r>
      <w:r w:rsidRPr="00651020">
        <w:rPr>
          <w:rFonts w:asciiTheme="minorHAnsi" w:eastAsia="Tahoma" w:hAnsiTheme="minorHAnsi" w:cstheme="minorHAnsi"/>
          <w:i/>
          <w:iCs/>
          <w:color w:val="000000"/>
          <w:spacing w:val="4"/>
          <w:sz w:val="22"/>
          <w:szCs w:val="22"/>
          <w:lang w:val="fr-FR"/>
        </w:rPr>
        <w:t xml:space="preserve">(...) </w:t>
      </w:r>
      <w:r w:rsidRPr="00651020">
        <w:rPr>
          <w:rFonts w:asciiTheme="minorHAnsi" w:eastAsia="Arial" w:hAnsiTheme="minorHAnsi" w:cstheme="minorHAnsi"/>
          <w:i/>
          <w:iCs/>
          <w:color w:val="000000"/>
          <w:spacing w:val="4"/>
          <w:sz w:val="22"/>
          <w:szCs w:val="22"/>
          <w:lang w:val="fr-FR"/>
        </w:rPr>
        <w:t xml:space="preserve">Au-delà de cette période, la messagerie électronique de la personne concernée sera supprimée </w:t>
      </w:r>
      <w:r w:rsidRPr="00651020">
        <w:rPr>
          <w:rFonts w:asciiTheme="minorHAnsi" w:eastAsia="Tahoma" w:hAnsiTheme="minorHAnsi" w:cstheme="minorHAnsi"/>
          <w:i/>
          <w:iCs/>
          <w:color w:val="000000"/>
          <w:spacing w:val="4"/>
          <w:sz w:val="22"/>
          <w:szCs w:val="22"/>
          <w:lang w:val="fr-FR"/>
        </w:rPr>
        <w:t>»</w:t>
      </w:r>
      <w:r w:rsidRPr="00651020">
        <w:rPr>
          <w:rStyle w:val="Appelnotedebasdep"/>
          <w:rFonts w:asciiTheme="minorHAnsi" w:eastAsia="Tahoma" w:hAnsiTheme="minorHAnsi" w:cstheme="minorHAnsi"/>
          <w:i/>
          <w:iCs/>
          <w:color w:val="000000"/>
          <w:spacing w:val="4"/>
          <w:sz w:val="22"/>
          <w:szCs w:val="22"/>
          <w:lang w:val="fr-FR"/>
        </w:rPr>
        <w:footnoteReference w:id="36"/>
      </w:r>
      <w:r w:rsidRPr="00651020">
        <w:rPr>
          <w:rFonts w:asciiTheme="minorHAnsi" w:eastAsia="Tahoma" w:hAnsiTheme="minorHAnsi" w:cstheme="minorHAnsi"/>
          <w:i/>
          <w:iCs/>
          <w:color w:val="000000"/>
          <w:spacing w:val="4"/>
          <w:sz w:val="22"/>
          <w:szCs w:val="22"/>
          <w:lang w:val="fr-FR"/>
        </w:rPr>
        <w:t>.</w:t>
      </w:r>
    </w:p>
    <w:p w14:paraId="17ECD96C" w14:textId="1425F96F" w:rsidR="00716701" w:rsidRDefault="00716701" w:rsidP="006D25C7">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Pr>
          <w:rFonts w:ascii="Calibri" w:eastAsia="Times New Roman" w:hAnsi="Calibri" w:cs="Calibri"/>
          <w:color w:val="000000"/>
          <w:kern w:val="0"/>
          <w:sz w:val="22"/>
          <w:szCs w:val="22"/>
          <w:lang w:val="fr-FR" w:eastAsia="en-US"/>
        </w:rPr>
        <w:t xml:space="preserve">Il appartenait à la société PROMAS de supprimer l’adresse email professionnelle de monsieur </w:t>
      </w:r>
      <w:r w:rsidR="00AA321F">
        <w:rPr>
          <w:rFonts w:ascii="Calibri" w:eastAsia="Times New Roman" w:hAnsi="Calibri" w:cs="Calibri"/>
          <w:color w:val="000000"/>
          <w:kern w:val="0"/>
          <w:sz w:val="22"/>
          <w:szCs w:val="22"/>
          <w:lang w:val="fr-FR" w:eastAsia="en-US"/>
        </w:rPr>
        <w:t>K</w:t>
      </w:r>
      <w:r>
        <w:rPr>
          <w:rFonts w:ascii="Calibri" w:eastAsia="Times New Roman" w:hAnsi="Calibri" w:cs="Calibri"/>
          <w:color w:val="000000"/>
          <w:kern w:val="0"/>
          <w:sz w:val="22"/>
          <w:szCs w:val="22"/>
          <w:lang w:val="fr-FR" w:eastAsia="en-US"/>
        </w:rPr>
        <w:t xml:space="preserve">, dès son départ. </w:t>
      </w:r>
    </w:p>
    <w:p w14:paraId="0DF88190" w14:textId="0FE354E4" w:rsidR="006D25C7" w:rsidRPr="00670028" w:rsidRDefault="00716701" w:rsidP="006D25C7">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Pr>
          <w:rFonts w:ascii="Calibri" w:eastAsia="Times New Roman" w:hAnsi="Calibri" w:cs="Calibri"/>
          <w:color w:val="000000"/>
          <w:kern w:val="0"/>
          <w:sz w:val="22"/>
          <w:szCs w:val="22"/>
          <w:lang w:val="fr-FR" w:eastAsia="en-US"/>
        </w:rPr>
        <w:t>Dès lors, l</w:t>
      </w:r>
      <w:r w:rsidR="006D25C7" w:rsidRPr="00670028">
        <w:rPr>
          <w:rFonts w:ascii="Calibri" w:eastAsia="Times New Roman" w:hAnsi="Calibri" w:cs="Calibri"/>
          <w:color w:val="000000"/>
          <w:kern w:val="0"/>
          <w:sz w:val="22"/>
          <w:szCs w:val="22"/>
          <w:lang w:val="fr-FR" w:eastAsia="en-US"/>
        </w:rPr>
        <w:t xml:space="preserve">es échanges de courriels produits par la société PROMAS </w:t>
      </w:r>
      <w:r w:rsidR="00F77BF3">
        <w:rPr>
          <w:rFonts w:ascii="Calibri" w:eastAsia="Times New Roman" w:hAnsi="Calibri" w:cs="Calibri"/>
          <w:color w:val="000000"/>
          <w:kern w:val="0"/>
          <w:sz w:val="22"/>
          <w:szCs w:val="22"/>
          <w:lang w:val="fr-FR" w:eastAsia="en-US"/>
        </w:rPr>
        <w:t>sont donc irréguliers.</w:t>
      </w:r>
    </w:p>
    <w:p w14:paraId="5AC68357" w14:textId="77777777" w:rsidR="006D25C7" w:rsidRPr="006D25C7" w:rsidRDefault="006D25C7" w:rsidP="006D25C7">
      <w:pPr>
        <w:pStyle w:val="Paragraphedeliste"/>
        <w:widowControl/>
        <w:numPr>
          <w:ilvl w:val="0"/>
          <w:numId w:val="13"/>
        </w:numPr>
        <w:suppressAutoHyphens w:val="0"/>
        <w:autoSpaceDN/>
        <w:spacing w:after="160" w:line="254" w:lineRule="auto"/>
        <w:jc w:val="both"/>
        <w:textAlignment w:val="auto"/>
        <w:rPr>
          <w:rFonts w:ascii="Calibri" w:eastAsia="Calibri" w:hAnsi="Calibri" w:cs="Calibri"/>
          <w:bCs/>
          <w:kern w:val="0"/>
          <w:sz w:val="22"/>
          <w:szCs w:val="22"/>
          <w:u w:val="single"/>
          <w:lang w:eastAsia="en-US"/>
        </w:rPr>
      </w:pPr>
      <w:r w:rsidRPr="006D25C7">
        <w:rPr>
          <w:rFonts w:ascii="Calibri" w:eastAsia="Calibri" w:hAnsi="Calibri" w:cs="Calibri"/>
          <w:bCs/>
          <w:kern w:val="0"/>
          <w:sz w:val="22"/>
          <w:szCs w:val="22"/>
          <w:u w:val="single"/>
          <w:lang w:eastAsia="en-US"/>
        </w:rPr>
        <w:t xml:space="preserve">La recevabilité des preuves </w:t>
      </w:r>
    </w:p>
    <w:p w14:paraId="229080A7" w14:textId="77777777" w:rsidR="0014234F" w:rsidRDefault="0014234F" w:rsidP="006D25C7">
      <w:pPr>
        <w:widowControl/>
        <w:suppressAutoHyphens w:val="0"/>
        <w:autoSpaceDN/>
        <w:spacing w:after="160" w:line="254"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a.</w:t>
      </w:r>
    </w:p>
    <w:p w14:paraId="57FA13F4" w14:textId="74CB8177" w:rsidR="00670028" w:rsidRPr="006D25C7" w:rsidRDefault="00651020" w:rsidP="006D25C7">
      <w:pPr>
        <w:widowControl/>
        <w:suppressAutoHyphens w:val="0"/>
        <w:autoSpaceDN/>
        <w:spacing w:after="160" w:line="254" w:lineRule="auto"/>
        <w:jc w:val="both"/>
        <w:textAlignment w:val="auto"/>
        <w:rPr>
          <w:rFonts w:ascii="Calibri" w:eastAsia="Calibri" w:hAnsi="Calibri" w:cs="Calibri"/>
          <w:bCs/>
          <w:kern w:val="0"/>
          <w:sz w:val="22"/>
          <w:szCs w:val="22"/>
          <w:lang w:eastAsia="en-US"/>
        </w:rPr>
      </w:pPr>
      <w:r>
        <w:rPr>
          <w:rFonts w:ascii="Calibri" w:eastAsia="Calibri" w:hAnsi="Calibri" w:cs="Calibri"/>
          <w:bCs/>
          <w:kern w:val="0"/>
          <w:sz w:val="22"/>
          <w:szCs w:val="22"/>
          <w:lang w:eastAsia="en-US"/>
        </w:rPr>
        <w:t>Compte tenu de son irrégularité, l</w:t>
      </w:r>
      <w:r w:rsidR="00670028" w:rsidRPr="006D25C7">
        <w:rPr>
          <w:rFonts w:ascii="Calibri" w:eastAsia="Calibri" w:hAnsi="Calibri" w:cs="Calibri"/>
          <w:bCs/>
          <w:kern w:val="0"/>
          <w:sz w:val="22"/>
          <w:szCs w:val="22"/>
          <w:lang w:eastAsia="en-US"/>
        </w:rPr>
        <w:t>a recevabilité de ce moyen de preuve (les emails reçus après la fin de la relation contractuelle sur l’adresse (jf</w:t>
      </w:r>
      <w:r w:rsidR="00AA321F">
        <w:rPr>
          <w:rFonts w:ascii="Calibri" w:eastAsia="Calibri" w:hAnsi="Calibri" w:cs="Calibri"/>
          <w:bCs/>
          <w:kern w:val="0"/>
          <w:sz w:val="22"/>
          <w:szCs w:val="22"/>
          <w:lang w:eastAsia="en-US"/>
        </w:rPr>
        <w:t>K</w:t>
      </w:r>
      <w:r w:rsidR="00670028" w:rsidRPr="006D25C7">
        <w:rPr>
          <w:rFonts w:ascii="Calibri" w:eastAsia="Calibri" w:hAnsi="Calibri" w:cs="Calibri"/>
          <w:bCs/>
          <w:kern w:val="0"/>
          <w:sz w:val="22"/>
          <w:szCs w:val="22"/>
          <w:lang w:eastAsia="en-US"/>
        </w:rPr>
        <w:t>@promas.be) doit être appréciée à la lumière de la jurisprudence « Antigone », selon laquelle le juge peut tenir compte d’une preuve obtenue de manière irrégulière :</w:t>
      </w:r>
    </w:p>
    <w:p w14:paraId="2FDC63EA" w14:textId="77777777" w:rsidR="00670028" w:rsidRPr="00670028" w:rsidRDefault="00670028" w:rsidP="00670028">
      <w:pPr>
        <w:widowControl/>
        <w:suppressAutoHyphens w:val="0"/>
        <w:autoSpaceDN/>
        <w:spacing w:after="160" w:line="254" w:lineRule="auto"/>
        <w:ind w:left="708"/>
        <w:jc w:val="both"/>
        <w:textAlignment w:val="auto"/>
        <w:rPr>
          <w:rFonts w:ascii="Calibri" w:eastAsia="Calibri" w:hAnsi="Calibri" w:cs="Calibri"/>
          <w:bCs/>
          <w:kern w:val="0"/>
          <w:sz w:val="22"/>
          <w:szCs w:val="22"/>
          <w:lang w:eastAsia="en-US"/>
        </w:rPr>
      </w:pPr>
      <w:r w:rsidRPr="00670028">
        <w:rPr>
          <w:rFonts w:ascii="Calibri" w:eastAsia="Calibri" w:hAnsi="Calibri" w:cs="Calibri"/>
          <w:kern w:val="0"/>
          <w:sz w:val="22"/>
          <w:szCs w:val="22"/>
          <w:lang w:eastAsia="en-US"/>
        </w:rPr>
        <w:t>« </w:t>
      </w:r>
      <w:r w:rsidRPr="00670028">
        <w:rPr>
          <w:rFonts w:ascii="Calibri" w:eastAsia="Calibri" w:hAnsi="Calibri" w:cs="Calibri"/>
          <w:i/>
          <w:iCs/>
          <w:kern w:val="0"/>
          <w:sz w:val="22"/>
          <w:szCs w:val="22"/>
          <w:lang w:eastAsia="en-US"/>
        </w:rPr>
        <w:t>La circonstance qu'un élément de preuve a été obtenu illicitement a, en règle, uniquement pour conséquence, que le juge, lorsqu'il forme sa conviction, ne peut prendre cet élément en considération ni directement ni indirectement soit lorsque le respect de certaines conditions de forme est prescrit à peine de nullité, soit lorsque l'irrégularité commise a entaché la crédibilité de la preuve, soit lorsque l'usage de la preuve est contraire au droit à un procès équitable</w:t>
      </w:r>
      <w:r w:rsidRPr="00670028">
        <w:rPr>
          <w:rFonts w:ascii="Calibri" w:eastAsia="Calibri" w:hAnsi="Calibri" w:cs="Calibri"/>
          <w:kern w:val="0"/>
          <w:sz w:val="22"/>
          <w:szCs w:val="22"/>
          <w:lang w:eastAsia="en-US"/>
        </w:rPr>
        <w:t> »</w:t>
      </w:r>
      <w:r w:rsidRPr="00670028">
        <w:rPr>
          <w:rFonts w:ascii="Calibri" w:eastAsia="Calibri" w:hAnsi="Calibri" w:cs="Calibri"/>
          <w:bCs/>
          <w:kern w:val="0"/>
          <w:sz w:val="22"/>
          <w:szCs w:val="22"/>
          <w:vertAlign w:val="superscript"/>
          <w:lang w:eastAsia="en-US"/>
        </w:rPr>
        <w:t xml:space="preserve"> </w:t>
      </w:r>
      <w:r w:rsidRPr="00670028">
        <w:rPr>
          <w:rFonts w:ascii="Calibri" w:eastAsia="Calibri" w:hAnsi="Calibri" w:cs="Calibri"/>
          <w:bCs/>
          <w:kern w:val="0"/>
          <w:sz w:val="22"/>
          <w:szCs w:val="22"/>
          <w:vertAlign w:val="superscript"/>
          <w:lang w:eastAsia="en-US"/>
        </w:rPr>
        <w:footnoteReference w:id="37"/>
      </w:r>
    </w:p>
    <w:p w14:paraId="34F1CD8B" w14:textId="77777777" w:rsidR="00670028" w:rsidRPr="00670028" w:rsidRDefault="00670028" w:rsidP="00670028">
      <w:pPr>
        <w:widowControl/>
        <w:suppressAutoHyphens w:val="0"/>
        <w:autoSpaceDN/>
        <w:spacing w:after="160" w:line="254"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La Cour de cassation a précisé sa jurisprudence dans l’arrêt « Manon », en ajoutant de nouveaux critères d’appréciation de régularité de la preuve. Ainsi, pour </w:t>
      </w:r>
      <w:r w:rsidRPr="00670028">
        <w:rPr>
          <w:rFonts w:ascii="Calibri" w:eastAsia="Calibri" w:hAnsi="Calibri" w:cs="Calibri"/>
          <w:kern w:val="0"/>
          <w:sz w:val="22"/>
          <w:szCs w:val="22"/>
          <w:lang w:eastAsia="en-US"/>
        </w:rPr>
        <w:t>fonder l’admission d’un élément de preuve irrégulièrement obtenu, le juge peut prendre en considération, notamment, la circonstance que l’illicéité est sans commune mesure avec la gravité de l’infraction dont l’acte irrégulier a permis la constatation, ou que cette irrégularité est sans incidence sur le droit ou la liberté protégés par la norme transgressée</w:t>
      </w:r>
      <w:r w:rsidRPr="00670028">
        <w:rPr>
          <w:rFonts w:ascii="Calibri" w:eastAsia="Calibri" w:hAnsi="Calibri" w:cs="Calibri"/>
          <w:bCs/>
          <w:kern w:val="0"/>
          <w:sz w:val="22"/>
          <w:szCs w:val="22"/>
          <w:vertAlign w:val="superscript"/>
          <w:lang w:eastAsia="en-US"/>
        </w:rPr>
        <w:footnoteReference w:id="38"/>
      </w:r>
      <w:r w:rsidRPr="00670028">
        <w:rPr>
          <w:rFonts w:ascii="Calibri" w:eastAsia="Calibri" w:hAnsi="Calibri" w:cs="Calibri"/>
          <w:bCs/>
          <w:kern w:val="0"/>
          <w:sz w:val="22"/>
          <w:szCs w:val="22"/>
          <w:lang w:eastAsia="en-US"/>
        </w:rPr>
        <w:t>.</w:t>
      </w:r>
    </w:p>
    <w:p w14:paraId="3B67168D" w14:textId="77777777" w:rsidR="00670028" w:rsidRPr="00670028" w:rsidRDefault="00670028" w:rsidP="00670028">
      <w:pPr>
        <w:widowControl/>
        <w:suppressAutoHyphens w:val="0"/>
        <w:autoSpaceDN/>
        <w:spacing w:after="160" w:line="254" w:lineRule="auto"/>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Par arrêt prononcé le 14 juin 2021, la Cour de cassation est venue confirmer l’application de cette jurisprudence en matière civile, y compris devant les juridictions du travail</w:t>
      </w:r>
      <w:r w:rsidRPr="00670028">
        <w:rPr>
          <w:rFonts w:ascii="Calibri" w:eastAsia="Calibri" w:hAnsi="Calibri" w:cs="Calibri"/>
          <w:bCs/>
          <w:kern w:val="0"/>
          <w:sz w:val="22"/>
          <w:szCs w:val="22"/>
          <w:vertAlign w:val="superscript"/>
          <w:lang w:eastAsia="en-US"/>
        </w:rPr>
        <w:footnoteReference w:id="39"/>
      </w:r>
      <w:r w:rsidRPr="00670028">
        <w:rPr>
          <w:rFonts w:ascii="Calibri" w:eastAsia="Calibri" w:hAnsi="Calibri" w:cs="Calibri"/>
          <w:bCs/>
          <w:kern w:val="0"/>
          <w:sz w:val="22"/>
          <w:szCs w:val="22"/>
          <w:lang w:eastAsia="en-US"/>
        </w:rPr>
        <w:t xml:space="preserve">. La Cour confirme le principe en vertu duquel les preuves recueillies de manière irrégulières sont, en général, admissibles, </w:t>
      </w:r>
      <w:r w:rsidRPr="00670028">
        <w:rPr>
          <w:rFonts w:ascii="Calibri" w:eastAsia="Calibri" w:hAnsi="Calibri" w:cs="Calibri"/>
          <w:bCs/>
          <w:i/>
          <w:iCs/>
          <w:kern w:val="0"/>
          <w:sz w:val="22"/>
          <w:szCs w:val="22"/>
          <w:lang w:eastAsia="en-US"/>
        </w:rPr>
        <w:t>sauf</w:t>
      </w:r>
      <w:r w:rsidRPr="00670028">
        <w:rPr>
          <w:rFonts w:ascii="Calibri" w:eastAsia="Calibri" w:hAnsi="Calibri" w:cs="Calibri"/>
          <w:bCs/>
          <w:kern w:val="0"/>
          <w:sz w:val="22"/>
          <w:szCs w:val="22"/>
          <w:lang w:eastAsia="en-US"/>
        </w:rPr>
        <w:t xml:space="preserve"> lorsque la loi en décide autrement, ainsi que dans deux hypothèses :</w:t>
      </w:r>
    </w:p>
    <w:p w14:paraId="7CD8FCE1" w14:textId="77777777" w:rsidR="00670028" w:rsidRPr="00670028" w:rsidRDefault="00670028" w:rsidP="00670028">
      <w:pPr>
        <w:widowControl/>
        <w:numPr>
          <w:ilvl w:val="0"/>
          <w:numId w:val="14"/>
        </w:numPr>
        <w:suppressAutoHyphens w:val="0"/>
        <w:autoSpaceDN/>
        <w:spacing w:after="160" w:line="254" w:lineRule="auto"/>
        <w:contextualSpacing/>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L’irrégularité de la preuve en affecte la fiabilité ;</w:t>
      </w:r>
    </w:p>
    <w:p w14:paraId="2B6A45E4" w14:textId="77777777" w:rsidR="00670028" w:rsidRPr="00670028" w:rsidRDefault="00670028" w:rsidP="00670028">
      <w:pPr>
        <w:widowControl/>
        <w:numPr>
          <w:ilvl w:val="0"/>
          <w:numId w:val="14"/>
        </w:numPr>
        <w:suppressAutoHyphens w:val="0"/>
        <w:autoSpaceDN/>
        <w:spacing w:after="160" w:line="254" w:lineRule="auto"/>
        <w:contextualSpacing/>
        <w:jc w:val="both"/>
        <w:textAlignment w:val="auto"/>
        <w:rPr>
          <w:rFonts w:ascii="Calibri" w:eastAsia="Calibri" w:hAnsi="Calibri" w:cs="Calibri"/>
          <w:bCs/>
          <w:kern w:val="0"/>
          <w:sz w:val="22"/>
          <w:szCs w:val="22"/>
          <w:lang w:eastAsia="en-US"/>
        </w:rPr>
      </w:pPr>
      <w:r w:rsidRPr="00670028">
        <w:rPr>
          <w:rFonts w:ascii="Calibri" w:eastAsia="Calibri" w:hAnsi="Calibri" w:cs="Calibri"/>
          <w:bCs/>
          <w:kern w:val="0"/>
          <w:sz w:val="22"/>
          <w:szCs w:val="22"/>
          <w:lang w:eastAsia="en-US"/>
        </w:rPr>
        <w:t xml:space="preserve">L’irrégularité entraîne une violation du droit à un procès équitable. </w:t>
      </w:r>
    </w:p>
    <w:p w14:paraId="270802F0" w14:textId="77777777" w:rsidR="00670028" w:rsidRPr="00670028" w:rsidRDefault="00670028" w:rsidP="00670028">
      <w:pPr>
        <w:widowControl/>
        <w:suppressAutoHyphens w:val="0"/>
        <w:autoSpaceDN/>
        <w:spacing w:line="254" w:lineRule="auto"/>
        <w:ind w:left="720"/>
        <w:contextualSpacing/>
        <w:jc w:val="both"/>
        <w:textAlignment w:val="auto"/>
        <w:rPr>
          <w:rFonts w:ascii="Calibri" w:eastAsia="Calibri" w:hAnsi="Calibri" w:cs="Calibri"/>
          <w:bCs/>
          <w:kern w:val="0"/>
          <w:sz w:val="22"/>
          <w:szCs w:val="22"/>
          <w:lang w:eastAsia="en-US"/>
        </w:rPr>
      </w:pPr>
    </w:p>
    <w:p w14:paraId="7965731F" w14:textId="1CA45771" w:rsidR="00670028" w:rsidRDefault="00670028" w:rsidP="00670028">
      <w:pPr>
        <w:widowControl/>
        <w:suppressAutoHyphens w:val="0"/>
        <w:autoSpaceDN/>
        <w:spacing w:after="160" w:line="254" w:lineRule="auto"/>
        <w:jc w:val="both"/>
        <w:textAlignment w:val="auto"/>
        <w:rPr>
          <w:rFonts w:ascii="Calibri" w:eastAsia="Calibri" w:hAnsi="Calibri" w:cs="Calibri"/>
          <w:kern w:val="0"/>
          <w:sz w:val="22"/>
          <w:szCs w:val="22"/>
          <w:lang w:eastAsia="en-US"/>
        </w:rPr>
      </w:pPr>
      <w:r w:rsidRPr="00670028">
        <w:rPr>
          <w:rFonts w:ascii="Calibri" w:eastAsia="Calibri" w:hAnsi="Calibri" w:cs="Calibri"/>
          <w:bCs/>
          <w:kern w:val="0"/>
          <w:sz w:val="22"/>
          <w:szCs w:val="22"/>
          <w:lang w:eastAsia="en-US"/>
        </w:rPr>
        <w:t>Dans cet arrêt, la Cour précise encore qu’</w:t>
      </w:r>
      <w:r w:rsidRPr="00670028">
        <w:rPr>
          <w:rFonts w:ascii="Calibri" w:eastAsia="Calibri" w:hAnsi="Calibri" w:cs="Calibri"/>
          <w:kern w:val="0"/>
          <w:sz w:val="22"/>
          <w:szCs w:val="22"/>
          <w:lang w:eastAsia="en-US"/>
        </w:rPr>
        <w:t>« </w:t>
      </w:r>
      <w:r w:rsidRPr="00670028">
        <w:rPr>
          <w:rFonts w:ascii="Calibri" w:eastAsia="Calibri" w:hAnsi="Calibri" w:cs="Calibri"/>
          <w:i/>
          <w:iCs/>
          <w:kern w:val="0"/>
          <w:sz w:val="22"/>
          <w:szCs w:val="22"/>
          <w:lang w:eastAsia="en-US"/>
        </w:rPr>
        <w:t>il y a lieu de tenir compte de toutes les circonstances de l’espèce, notamment de la manière dont la preuve a été obtenue, des circonstances dans lesquelles l’illégalité a été commise, de la gravité de celle-ci et de la mesure dans laquelle elle a porté atteinte au droit de la partie adverse, du besoin de preuve de la partie qui a commis l’illégalité et de l’attitude de la partie adverse</w:t>
      </w:r>
      <w:r w:rsidRPr="00670028">
        <w:rPr>
          <w:rFonts w:ascii="Calibri" w:eastAsia="Calibri" w:hAnsi="Calibri" w:cs="Calibri"/>
          <w:kern w:val="0"/>
          <w:sz w:val="22"/>
          <w:szCs w:val="22"/>
          <w:lang w:eastAsia="en-US"/>
        </w:rPr>
        <w:t xml:space="preserve"> ».</w:t>
      </w:r>
    </w:p>
    <w:p w14:paraId="67BB5C8B" w14:textId="04959B30" w:rsidR="0014234F" w:rsidRDefault="0014234F" w:rsidP="00670028">
      <w:pPr>
        <w:widowControl/>
        <w:suppressAutoHyphens w:val="0"/>
        <w:autoSpaceDN/>
        <w:spacing w:after="160" w:line="254" w:lineRule="auto"/>
        <w:jc w:val="both"/>
        <w:textAlignment w:val="auto"/>
        <w:rPr>
          <w:rFonts w:ascii="Calibri" w:eastAsia="Calibri" w:hAnsi="Calibri" w:cs="Calibri"/>
          <w:kern w:val="0"/>
          <w:sz w:val="22"/>
          <w:szCs w:val="22"/>
          <w:lang w:eastAsia="en-US"/>
        </w:rPr>
      </w:pPr>
      <w:r>
        <w:rPr>
          <w:rFonts w:ascii="Calibri" w:eastAsia="Calibri" w:hAnsi="Calibri" w:cs="Calibri"/>
          <w:kern w:val="0"/>
          <w:sz w:val="22"/>
          <w:szCs w:val="22"/>
          <w:lang w:eastAsia="en-US"/>
        </w:rPr>
        <w:t>b.</w:t>
      </w:r>
    </w:p>
    <w:p w14:paraId="1A2B4F15" w14:textId="77777777" w:rsidR="0014234F" w:rsidRPr="0014234F" w:rsidRDefault="0014234F" w:rsidP="0014234F">
      <w:pPr>
        <w:spacing w:before="19" w:line="294" w:lineRule="exact"/>
        <w:jc w:val="both"/>
        <w:rPr>
          <w:rFonts w:asciiTheme="minorHAnsi" w:eastAsia="Tahoma" w:hAnsiTheme="minorHAnsi" w:cstheme="minorHAnsi"/>
          <w:color w:val="000000"/>
          <w:spacing w:val="8"/>
          <w:sz w:val="22"/>
          <w:szCs w:val="22"/>
          <w:lang w:val="fr-FR"/>
        </w:rPr>
      </w:pPr>
      <w:r w:rsidRPr="0014234F">
        <w:rPr>
          <w:rFonts w:asciiTheme="minorHAnsi" w:eastAsia="Calibri" w:hAnsiTheme="minorHAnsi" w:cstheme="minorHAnsi"/>
          <w:kern w:val="0"/>
          <w:sz w:val="22"/>
          <w:szCs w:val="22"/>
          <w:lang w:eastAsia="en-US"/>
        </w:rPr>
        <w:t xml:space="preserve">Conformément à cette jurisprudence, </w:t>
      </w:r>
      <w:r w:rsidRPr="0014234F">
        <w:rPr>
          <w:rFonts w:asciiTheme="minorHAnsi" w:eastAsia="Tahoma" w:hAnsiTheme="minorHAnsi" w:cstheme="minorHAnsi"/>
          <w:color w:val="000000"/>
          <w:spacing w:val="8"/>
          <w:sz w:val="22"/>
          <w:szCs w:val="22"/>
          <w:lang w:val="fr-FR"/>
        </w:rPr>
        <w:t>aucune disposition légale n’impose d’écarter les preuves irrégulières.</w:t>
      </w:r>
    </w:p>
    <w:p w14:paraId="44422C9B" w14:textId="77777777" w:rsidR="0014234F" w:rsidRPr="0014234F" w:rsidRDefault="0014234F" w:rsidP="0014234F">
      <w:pPr>
        <w:spacing w:before="19" w:line="294" w:lineRule="exact"/>
        <w:ind w:left="144"/>
        <w:jc w:val="both"/>
        <w:rPr>
          <w:rFonts w:asciiTheme="minorHAnsi" w:eastAsia="Tahoma" w:hAnsiTheme="minorHAnsi" w:cstheme="minorHAnsi"/>
          <w:color w:val="000000"/>
          <w:spacing w:val="8"/>
          <w:sz w:val="22"/>
          <w:szCs w:val="22"/>
          <w:lang w:val="fr-FR"/>
        </w:rPr>
      </w:pPr>
    </w:p>
    <w:p w14:paraId="20F29FB1" w14:textId="374DBC98" w:rsidR="0014234F" w:rsidRPr="0014234F" w:rsidRDefault="0014234F" w:rsidP="0014234F">
      <w:pPr>
        <w:spacing w:before="19" w:line="294" w:lineRule="exact"/>
        <w:jc w:val="both"/>
        <w:rPr>
          <w:rFonts w:asciiTheme="minorHAnsi" w:eastAsia="Tahoma" w:hAnsiTheme="minorHAnsi" w:cstheme="minorHAnsi"/>
          <w:color w:val="000000"/>
          <w:sz w:val="22"/>
          <w:szCs w:val="22"/>
          <w:lang w:val="fr-FR"/>
        </w:rPr>
      </w:pPr>
      <w:r w:rsidRPr="0014234F">
        <w:rPr>
          <w:rFonts w:asciiTheme="minorHAnsi" w:eastAsia="Tahoma" w:hAnsiTheme="minorHAnsi" w:cstheme="minorHAnsi"/>
          <w:color w:val="000000"/>
          <w:spacing w:val="8"/>
          <w:sz w:val="22"/>
          <w:szCs w:val="22"/>
          <w:lang w:val="fr-FR"/>
        </w:rPr>
        <w:t>Alors que la fiabilité des pièces n’est remise en cause par aucune des parties, l</w:t>
      </w:r>
      <w:r w:rsidRPr="0014234F">
        <w:rPr>
          <w:rFonts w:asciiTheme="minorHAnsi" w:eastAsia="Tahoma" w:hAnsiTheme="minorHAnsi" w:cstheme="minorHAnsi"/>
          <w:color w:val="000000"/>
          <w:sz w:val="22"/>
          <w:szCs w:val="22"/>
          <w:lang w:val="fr-FR"/>
        </w:rPr>
        <w:t xml:space="preserve">e droit au procès équitable est respecté : tant Monsieur </w:t>
      </w:r>
      <w:r w:rsidR="00AA321F">
        <w:rPr>
          <w:rFonts w:asciiTheme="minorHAnsi" w:eastAsia="Tahoma" w:hAnsiTheme="minorHAnsi" w:cstheme="minorHAnsi"/>
          <w:color w:val="000000"/>
          <w:sz w:val="22"/>
          <w:szCs w:val="22"/>
          <w:lang w:val="fr-FR"/>
        </w:rPr>
        <w:t>K</w:t>
      </w:r>
      <w:r w:rsidRPr="0014234F">
        <w:rPr>
          <w:rFonts w:asciiTheme="minorHAnsi" w:eastAsia="Tahoma" w:hAnsiTheme="minorHAnsi" w:cstheme="minorHAnsi"/>
          <w:color w:val="000000"/>
          <w:sz w:val="22"/>
          <w:szCs w:val="22"/>
          <w:lang w:val="fr-FR"/>
        </w:rPr>
        <w:t xml:space="preserve"> que la S.R.L. MLD ont pu débattre de la loyauté des éléments de preuve devant le Tribunal</w:t>
      </w:r>
    </w:p>
    <w:p w14:paraId="69AB30FF" w14:textId="6C21D337" w:rsidR="0014234F" w:rsidRPr="0014234F" w:rsidRDefault="0014234F" w:rsidP="0014234F">
      <w:pPr>
        <w:spacing w:before="160" w:line="294" w:lineRule="exact"/>
        <w:ind w:right="144"/>
        <w:jc w:val="both"/>
        <w:rPr>
          <w:rFonts w:asciiTheme="minorHAnsi" w:eastAsia="Tahoma" w:hAnsiTheme="minorHAnsi" w:cstheme="minorHAnsi"/>
          <w:color w:val="000000"/>
          <w:spacing w:val="10"/>
          <w:sz w:val="22"/>
          <w:szCs w:val="22"/>
          <w:lang w:val="fr-FR"/>
        </w:rPr>
      </w:pPr>
      <w:r w:rsidRPr="0014234F">
        <w:rPr>
          <w:rFonts w:asciiTheme="minorHAnsi" w:eastAsia="Tahoma" w:hAnsiTheme="minorHAnsi" w:cstheme="minorHAnsi"/>
          <w:color w:val="000000"/>
          <w:spacing w:val="10"/>
          <w:sz w:val="22"/>
          <w:szCs w:val="22"/>
          <w:lang w:val="fr-FR"/>
        </w:rPr>
        <w:t xml:space="preserve">Si des preuves ont été effectivement recueillies de manière irrégulière, elles l’ont été en raison d’une attitude purement passive – bien que répréhensible – de la S.A. PROMAS, qui a laissé active la boîte mail de Monsieur </w:t>
      </w:r>
      <w:r w:rsidR="00AA321F">
        <w:rPr>
          <w:rFonts w:asciiTheme="minorHAnsi" w:eastAsia="Tahoma" w:hAnsiTheme="minorHAnsi" w:cstheme="minorHAnsi"/>
          <w:color w:val="000000"/>
          <w:spacing w:val="10"/>
          <w:sz w:val="22"/>
          <w:szCs w:val="22"/>
          <w:lang w:val="fr-FR"/>
        </w:rPr>
        <w:t>K</w:t>
      </w:r>
      <w:r w:rsidRPr="0014234F">
        <w:rPr>
          <w:rFonts w:asciiTheme="minorHAnsi" w:eastAsia="Tahoma" w:hAnsiTheme="minorHAnsi" w:cstheme="minorHAnsi"/>
          <w:color w:val="000000"/>
          <w:spacing w:val="10"/>
          <w:sz w:val="22"/>
          <w:szCs w:val="22"/>
          <w:lang w:val="fr-FR"/>
        </w:rPr>
        <w:t xml:space="preserve"> après son départ et a ainsi pu prendre connaissance des envois qui lui étaient adressés par erreur à son ancienne adresse professionnelle. La S.A. PROMAS n’a eu recours à aucun procédé dolosif ou manœuvre frauduleuse pour accéder à la boîte mail de Monsieur </w:t>
      </w:r>
      <w:r w:rsidR="00AA321F">
        <w:rPr>
          <w:rFonts w:asciiTheme="minorHAnsi" w:eastAsia="Tahoma" w:hAnsiTheme="minorHAnsi" w:cstheme="minorHAnsi"/>
          <w:color w:val="000000"/>
          <w:spacing w:val="10"/>
          <w:sz w:val="22"/>
          <w:szCs w:val="22"/>
          <w:lang w:val="fr-FR"/>
        </w:rPr>
        <w:t>K</w:t>
      </w:r>
      <w:r w:rsidRPr="0014234F">
        <w:rPr>
          <w:rFonts w:asciiTheme="minorHAnsi" w:eastAsia="Tahoma" w:hAnsiTheme="minorHAnsi" w:cstheme="minorHAnsi"/>
          <w:color w:val="000000"/>
          <w:spacing w:val="10"/>
          <w:sz w:val="22"/>
          <w:szCs w:val="22"/>
          <w:lang w:val="fr-FR"/>
        </w:rPr>
        <w:t xml:space="preserve">. </w:t>
      </w:r>
    </w:p>
    <w:p w14:paraId="76216FE0" w14:textId="294AB2E5" w:rsidR="0014234F" w:rsidRPr="00670028" w:rsidRDefault="0014234F" w:rsidP="0014234F">
      <w:pPr>
        <w:spacing w:before="170" w:after="609" w:line="294" w:lineRule="exact"/>
        <w:ind w:right="144"/>
        <w:jc w:val="both"/>
        <w:rPr>
          <w:rFonts w:ascii="Calibri" w:eastAsia="Calibri" w:hAnsi="Calibri" w:cs="Calibri"/>
          <w:kern w:val="0"/>
          <w:sz w:val="22"/>
          <w:szCs w:val="22"/>
          <w:lang w:eastAsia="en-US"/>
        </w:rPr>
      </w:pPr>
      <w:r w:rsidRPr="0014234F">
        <w:rPr>
          <w:rFonts w:asciiTheme="minorHAnsi" w:eastAsia="Tahoma" w:hAnsiTheme="minorHAnsi" w:cstheme="minorHAnsi"/>
          <w:color w:val="000000"/>
          <w:sz w:val="22"/>
          <w:szCs w:val="22"/>
          <w:lang w:val="fr-FR"/>
        </w:rPr>
        <w:t xml:space="preserve">Par conséquent, le Tribunal estime qu’il n’y a pas lieu d’écarter </w:t>
      </w:r>
      <w:r w:rsidRPr="0014234F">
        <w:rPr>
          <w:rFonts w:asciiTheme="minorHAnsi" w:eastAsia="Arial" w:hAnsiTheme="minorHAnsi" w:cstheme="minorHAnsi"/>
          <w:color w:val="000000"/>
          <w:sz w:val="22"/>
          <w:szCs w:val="22"/>
          <w:lang w:val="fr-FR"/>
        </w:rPr>
        <w:t>ces preuves collectées irrégulièrement</w:t>
      </w:r>
      <w:r w:rsidRPr="0014234F">
        <w:rPr>
          <w:rFonts w:asciiTheme="minorHAnsi" w:eastAsia="Tahoma" w:hAnsiTheme="minorHAnsi" w:cstheme="minorHAnsi"/>
          <w:color w:val="000000"/>
          <w:sz w:val="22"/>
          <w:szCs w:val="22"/>
          <w:lang w:val="fr-FR"/>
        </w:rPr>
        <w:t>.</w:t>
      </w:r>
    </w:p>
    <w:p w14:paraId="67807315" w14:textId="6D6F757B" w:rsidR="00670028" w:rsidRPr="00670028" w:rsidRDefault="00670028" w:rsidP="00670028">
      <w:pPr>
        <w:widowControl/>
        <w:numPr>
          <w:ilvl w:val="0"/>
          <w:numId w:val="13"/>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u w:val="single"/>
          <w:lang w:val="fr-FR" w:eastAsia="en-US"/>
        </w:rPr>
        <w:t xml:space="preserve">La preuve du dommage vanté par la société PROMAS </w:t>
      </w:r>
    </w:p>
    <w:p w14:paraId="76A685FF" w14:textId="77777777" w:rsidR="00CE6C76" w:rsidRDefault="00CE6C76"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p>
    <w:p w14:paraId="3B4F38CB" w14:textId="604A67F6" w:rsidR="00670028" w:rsidRPr="00670028"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Durant l’exécution de son contrat de travail (article 17, 3° loi 03/07/1978) et les douze mois suivants la rupture des relations de travail (clause de non-concurrence étant d’application jusqu’au 04/04/2022),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devait s’abstenir d’exercer toute activité similaire et de faire ainsi concurrence aux activités exercées par PROMAS.</w:t>
      </w:r>
    </w:p>
    <w:p w14:paraId="694294E4" w14:textId="77777777" w:rsidR="00670028" w:rsidRPr="00670028"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Il appartient à la société PROMAS d’établir que cette concurrence non autorisée lui a causé un dommage consistant en une perte de clientèle, ou de chiffre d’affaire, au profit de la société MLD CONCEPT. </w:t>
      </w:r>
    </w:p>
    <w:p w14:paraId="3A56E42B" w14:textId="77777777" w:rsidR="00670028" w:rsidRPr="00670028"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Pour établir son dommage, la société PROMAS fait état de plusieurs évènements :</w:t>
      </w:r>
    </w:p>
    <w:p w14:paraId="6560EBAC" w14:textId="66CC65BE" w:rsidR="00653766" w:rsidRPr="005A06EF" w:rsidRDefault="00670028" w:rsidP="00770FC2">
      <w:pPr>
        <w:widowControl/>
        <w:numPr>
          <w:ilvl w:val="0"/>
          <w:numId w:val="14"/>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5A06EF">
        <w:rPr>
          <w:rFonts w:ascii="Calibri" w:eastAsia="Times New Roman" w:hAnsi="Calibri" w:cs="Calibri"/>
          <w:color w:val="000000"/>
          <w:kern w:val="0"/>
          <w:sz w:val="22"/>
          <w:szCs w:val="22"/>
          <w:lang w:val="fr-FR" w:eastAsia="en-US"/>
        </w:rPr>
        <w:t xml:space="preserve">En juin 2021, </w:t>
      </w:r>
      <w:r w:rsidR="00653766" w:rsidRPr="005A06EF">
        <w:rPr>
          <w:rFonts w:ascii="Calibri" w:eastAsia="Times New Roman" w:hAnsi="Calibri" w:cs="Calibri"/>
          <w:color w:val="000000"/>
          <w:kern w:val="0"/>
          <w:sz w:val="22"/>
          <w:szCs w:val="22"/>
          <w:lang w:val="fr-FR" w:eastAsia="en-US"/>
        </w:rPr>
        <w:t>M</w:t>
      </w:r>
      <w:r w:rsidRPr="005A06EF">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5A06EF">
        <w:rPr>
          <w:rFonts w:ascii="Calibri" w:eastAsia="Times New Roman" w:hAnsi="Calibri" w:cs="Calibri"/>
          <w:color w:val="000000"/>
          <w:kern w:val="0"/>
          <w:sz w:val="22"/>
          <w:szCs w:val="22"/>
          <w:lang w:val="fr-FR" w:eastAsia="en-US"/>
        </w:rPr>
        <w:t xml:space="preserve"> s’adresse au sous-traitant B pour une offre de prix sur un produit à fournir au client ELFIQUE. Les échanges de mails produits par PROMAS</w:t>
      </w:r>
      <w:r w:rsidRPr="00670028">
        <w:rPr>
          <w:rFonts w:ascii="Calibri" w:eastAsia="Times New Roman" w:hAnsi="Calibri" w:cs="Calibri"/>
          <w:color w:val="000000"/>
          <w:kern w:val="0"/>
          <w:sz w:val="22"/>
          <w:szCs w:val="22"/>
          <w:vertAlign w:val="superscript"/>
          <w:lang w:val="fr-FR" w:eastAsia="en-US"/>
        </w:rPr>
        <w:footnoteReference w:id="40"/>
      </w:r>
      <w:r w:rsidR="00DE6349" w:rsidRPr="005A06EF">
        <w:rPr>
          <w:rFonts w:ascii="Calibri" w:eastAsia="Times New Roman" w:hAnsi="Calibri" w:cs="Calibri"/>
          <w:color w:val="000000"/>
          <w:kern w:val="0"/>
          <w:sz w:val="22"/>
          <w:szCs w:val="22"/>
          <w:lang w:val="fr-FR" w:eastAsia="en-US"/>
        </w:rPr>
        <w:t xml:space="preserve"> </w:t>
      </w:r>
      <w:r w:rsidRPr="005A06EF">
        <w:rPr>
          <w:rFonts w:ascii="Calibri" w:eastAsia="Times New Roman" w:hAnsi="Calibri" w:cs="Calibri"/>
          <w:color w:val="000000"/>
          <w:kern w:val="0"/>
          <w:sz w:val="22"/>
          <w:szCs w:val="22"/>
          <w:lang w:val="fr-FR" w:eastAsia="en-US"/>
        </w:rPr>
        <w:t>confirment</w:t>
      </w:r>
      <w:r w:rsidR="00DE6349" w:rsidRPr="005A06EF">
        <w:rPr>
          <w:rFonts w:ascii="Calibri" w:eastAsia="Times New Roman" w:hAnsi="Calibri" w:cs="Calibri"/>
          <w:color w:val="000000"/>
          <w:kern w:val="0"/>
          <w:sz w:val="22"/>
          <w:szCs w:val="22"/>
          <w:lang w:val="fr-FR" w:eastAsia="en-US"/>
        </w:rPr>
        <w:t xml:space="preserve"> </w:t>
      </w:r>
      <w:r w:rsidRPr="005A06EF">
        <w:rPr>
          <w:rFonts w:ascii="Calibri" w:eastAsia="Times New Roman" w:hAnsi="Calibri" w:cs="Calibri"/>
          <w:color w:val="000000"/>
          <w:kern w:val="0"/>
          <w:sz w:val="22"/>
          <w:szCs w:val="22"/>
          <w:lang w:val="fr-FR" w:eastAsia="en-US"/>
        </w:rPr>
        <w:t>que ce sous-traitant travaillait pour les deux sociétés concurrentes, mais pas que le client E n’a plus traité avec PROMAS au profit de MLD ;</w:t>
      </w:r>
    </w:p>
    <w:p w14:paraId="5BA52802" w14:textId="2B23E17D" w:rsidR="00670028" w:rsidRPr="00670028" w:rsidRDefault="00670028" w:rsidP="00670028">
      <w:pPr>
        <w:widowControl/>
        <w:numPr>
          <w:ilvl w:val="0"/>
          <w:numId w:val="14"/>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Le concessionnaire BMW a été conservé dans la cliente de la société PROMAS, qui soutient qu’elle a </w:t>
      </w:r>
      <w:r w:rsidR="00653766" w:rsidRPr="00670028">
        <w:rPr>
          <w:rFonts w:ascii="Calibri" w:eastAsia="Times New Roman" w:hAnsi="Calibri" w:cs="Calibri"/>
          <w:color w:val="000000"/>
          <w:kern w:val="0"/>
          <w:sz w:val="22"/>
          <w:szCs w:val="22"/>
          <w:lang w:val="fr-FR" w:eastAsia="en-US"/>
        </w:rPr>
        <w:t>dû</w:t>
      </w:r>
      <w:r w:rsidRPr="00670028">
        <w:rPr>
          <w:rFonts w:ascii="Calibri" w:eastAsia="Times New Roman" w:hAnsi="Calibri" w:cs="Calibri"/>
          <w:color w:val="000000"/>
          <w:kern w:val="0"/>
          <w:sz w:val="22"/>
          <w:szCs w:val="22"/>
          <w:lang w:val="fr-FR" w:eastAsia="en-US"/>
        </w:rPr>
        <w:t xml:space="preserve"> baisser ses prix pour le conserver</w:t>
      </w:r>
      <w:r w:rsidRPr="00670028">
        <w:rPr>
          <w:rFonts w:ascii="Calibri" w:eastAsia="Times New Roman" w:hAnsi="Calibri" w:cs="Calibri"/>
          <w:color w:val="000000"/>
          <w:kern w:val="0"/>
          <w:sz w:val="22"/>
          <w:szCs w:val="22"/>
          <w:vertAlign w:val="superscript"/>
          <w:lang w:val="fr-FR" w:eastAsia="en-US"/>
        </w:rPr>
        <w:footnoteReference w:id="41"/>
      </w:r>
      <w:r w:rsidRPr="00670028">
        <w:rPr>
          <w:rFonts w:ascii="Calibri" w:eastAsia="Times New Roman" w:hAnsi="Calibri" w:cs="Calibri"/>
          <w:color w:val="000000"/>
          <w:kern w:val="0"/>
          <w:sz w:val="22"/>
          <w:szCs w:val="22"/>
          <w:lang w:val="fr-FR" w:eastAsia="en-US"/>
        </w:rPr>
        <w:t xml:space="preserve">. Elle ne fournit cependant aucun commencement de preuve permettant d’imputer cette réduction de prix à la concurrence déloyale de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00DE6349">
        <w:rPr>
          <w:rFonts w:ascii="Calibri" w:eastAsia="Times New Roman" w:hAnsi="Calibri" w:cs="Calibri"/>
          <w:color w:val="000000"/>
          <w:kern w:val="0"/>
          <w:sz w:val="22"/>
          <w:szCs w:val="22"/>
          <w:lang w:val="fr-FR" w:eastAsia="en-US"/>
        </w:rPr>
        <w:t>, ni même de la chiffrer ;</w:t>
      </w:r>
    </w:p>
    <w:p w14:paraId="69FCB95A" w14:textId="64B5FAC0" w:rsidR="00670028" w:rsidRPr="00670028" w:rsidRDefault="00670028" w:rsidP="00670028">
      <w:pPr>
        <w:widowControl/>
        <w:numPr>
          <w:ilvl w:val="0"/>
          <w:numId w:val="14"/>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En janvier 2022,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a entretenu des contacts avec la société brasserie C</w:t>
      </w:r>
      <w:r w:rsidRPr="00670028">
        <w:rPr>
          <w:rFonts w:ascii="Calibri" w:eastAsia="Times New Roman" w:hAnsi="Calibri" w:cs="Calibri"/>
          <w:color w:val="000000"/>
          <w:kern w:val="0"/>
          <w:sz w:val="22"/>
          <w:szCs w:val="22"/>
          <w:vertAlign w:val="superscript"/>
          <w:lang w:val="fr-FR" w:eastAsia="en-US"/>
        </w:rPr>
        <w:footnoteReference w:id="42"/>
      </w:r>
      <w:r w:rsidRPr="00670028">
        <w:rPr>
          <w:rFonts w:ascii="Calibri" w:eastAsia="Times New Roman" w:hAnsi="Calibri" w:cs="Calibri"/>
          <w:color w:val="000000"/>
          <w:kern w:val="0"/>
          <w:sz w:val="22"/>
          <w:szCs w:val="22"/>
          <w:lang w:val="fr-FR" w:eastAsia="en-US"/>
        </w:rPr>
        <w:t xml:space="preserve">. Alors que rien n’indique que cette société est devenue cliente de MLD CONCEPT, cette dernière démontre que la brasserie faisait partie de ses prospects, en avril 2020 soit bien avant l’arrivée de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vertAlign w:val="superscript"/>
          <w:lang w:val="fr-FR" w:eastAsia="en-US"/>
        </w:rPr>
        <w:footnoteReference w:id="43"/>
      </w:r>
      <w:r w:rsidRPr="00670028">
        <w:rPr>
          <w:rFonts w:ascii="Calibri" w:eastAsia="Times New Roman" w:hAnsi="Calibri" w:cs="Calibri"/>
          <w:color w:val="000000"/>
          <w:kern w:val="0"/>
          <w:sz w:val="22"/>
          <w:szCs w:val="22"/>
          <w:lang w:val="fr-FR" w:eastAsia="en-US"/>
        </w:rPr>
        <w:t>.</w:t>
      </w:r>
    </w:p>
    <w:p w14:paraId="1F5FAFBA" w14:textId="2002D539" w:rsidR="00670028" w:rsidRDefault="00670028" w:rsidP="00670028">
      <w:pPr>
        <w:widowControl/>
        <w:numPr>
          <w:ilvl w:val="0"/>
          <w:numId w:val="14"/>
        </w:numPr>
        <w:suppressAutoHyphens w:val="0"/>
        <w:autoSpaceDN/>
        <w:spacing w:before="240" w:after="193" w:line="317" w:lineRule="exact"/>
        <w:ind w:right="72"/>
        <w:contextualSpacing/>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PROMAS établit que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a obtenu des commandes de la C.S.C</w:t>
      </w:r>
      <w:r w:rsidR="00653766">
        <w:rPr>
          <w:rFonts w:ascii="Calibri" w:eastAsia="Times New Roman" w:hAnsi="Calibri" w:cs="Calibri"/>
          <w:color w:val="000000"/>
          <w:kern w:val="0"/>
          <w:sz w:val="22"/>
          <w:szCs w:val="22"/>
          <w:lang w:val="fr-FR" w:eastAsia="en-US"/>
        </w:rPr>
        <w:t>.</w:t>
      </w:r>
      <w:r w:rsidRPr="00670028">
        <w:rPr>
          <w:rFonts w:ascii="Calibri" w:eastAsia="Times New Roman" w:hAnsi="Calibri" w:cs="Calibri"/>
          <w:color w:val="000000"/>
          <w:kern w:val="0"/>
          <w:sz w:val="22"/>
          <w:szCs w:val="22"/>
          <w:lang w:val="fr-FR" w:eastAsia="en-US"/>
        </w:rPr>
        <w:t>, pour le compte de MLD CONCEPT, en juin 2022</w:t>
      </w:r>
      <w:r w:rsidRPr="00670028">
        <w:rPr>
          <w:rFonts w:ascii="Calibri" w:eastAsia="Times New Roman" w:hAnsi="Calibri" w:cs="Calibri"/>
          <w:color w:val="000000"/>
          <w:kern w:val="0"/>
          <w:sz w:val="22"/>
          <w:szCs w:val="22"/>
          <w:vertAlign w:val="superscript"/>
          <w:lang w:val="fr-FR" w:eastAsia="en-US"/>
        </w:rPr>
        <w:footnoteReference w:id="44"/>
      </w:r>
      <w:r w:rsidRPr="00670028">
        <w:rPr>
          <w:rFonts w:ascii="Calibri" w:eastAsia="Times New Roman" w:hAnsi="Calibri" w:cs="Calibri"/>
          <w:color w:val="000000"/>
          <w:kern w:val="0"/>
          <w:sz w:val="22"/>
          <w:szCs w:val="22"/>
          <w:lang w:val="fr-FR" w:eastAsia="en-US"/>
        </w:rPr>
        <w:t>. Bien que la C.S.C. soit aussi cliente de PROMAS, il n’y aucune preuve de concurrence déloyale en l’espèce, la commande était concrétisée après le 04 avril 2022.</w:t>
      </w:r>
    </w:p>
    <w:p w14:paraId="2872E932" w14:textId="77777777" w:rsidR="00653766" w:rsidRPr="00670028" w:rsidRDefault="00653766" w:rsidP="00653766">
      <w:pPr>
        <w:widowControl/>
        <w:suppressAutoHyphens w:val="0"/>
        <w:autoSpaceDN/>
        <w:spacing w:before="240" w:after="193" w:line="317" w:lineRule="exact"/>
        <w:ind w:left="720" w:right="72"/>
        <w:contextualSpacing/>
        <w:jc w:val="both"/>
        <w:textAlignment w:val="auto"/>
        <w:rPr>
          <w:rFonts w:ascii="Calibri" w:eastAsia="Times New Roman" w:hAnsi="Calibri" w:cs="Calibri"/>
          <w:color w:val="000000"/>
          <w:kern w:val="0"/>
          <w:sz w:val="22"/>
          <w:szCs w:val="22"/>
          <w:lang w:val="fr-FR" w:eastAsia="en-US"/>
        </w:rPr>
      </w:pPr>
    </w:p>
    <w:p w14:paraId="34E539FA" w14:textId="41E62CCB" w:rsidR="00670028" w:rsidRPr="00670028"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Les éléments produits par la société PROMAS permettent d’établir que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a eu des contacts, en qualité de représentant de commerce de la société MLD, avec des sociétés qui étaient alors clientes de PROMAS. </w:t>
      </w:r>
    </w:p>
    <w:p w14:paraId="58EE09A1" w14:textId="645F7F68" w:rsidR="00670028" w:rsidRPr="00670028"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Cependant, rien ne confirme que la violation par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de la clause de non-concurrence est </w:t>
      </w:r>
      <w:r w:rsidRPr="00670028">
        <w:rPr>
          <w:rFonts w:ascii="Calibri" w:eastAsia="Times New Roman" w:hAnsi="Calibri" w:cs="Calibri"/>
          <w:i/>
          <w:iCs/>
          <w:color w:val="000000"/>
          <w:kern w:val="0"/>
          <w:sz w:val="22"/>
          <w:szCs w:val="22"/>
          <w:lang w:val="fr-FR" w:eastAsia="en-US"/>
        </w:rPr>
        <w:t>la cause</w:t>
      </w:r>
      <w:r w:rsidRPr="00670028">
        <w:rPr>
          <w:rFonts w:ascii="Calibri" w:eastAsia="Times New Roman" w:hAnsi="Calibri" w:cs="Calibri"/>
          <w:color w:val="000000"/>
          <w:kern w:val="0"/>
          <w:sz w:val="22"/>
          <w:szCs w:val="22"/>
          <w:lang w:val="fr-FR" w:eastAsia="en-US"/>
        </w:rPr>
        <w:t xml:space="preserve"> de la perte de clientèle, et la diminution du chiffre d’affaire, dont se prévaut PROMAS. Il s’agit pourtant du type de dommage revendiqué. </w:t>
      </w:r>
    </w:p>
    <w:p w14:paraId="3EF44F36" w14:textId="6FEFB23B" w:rsidR="00670028" w:rsidRPr="00670028"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La pièce 20 produite à son dossier est insuffisante à apporter un commencement de preuve d’un tel dommage ; alors que les chiffres d’affaire (les bilans comptables ou les comptes annu</w:t>
      </w:r>
      <w:r w:rsidR="00653766">
        <w:rPr>
          <w:rFonts w:ascii="Calibri" w:eastAsia="Times New Roman" w:hAnsi="Calibri" w:cs="Calibri"/>
          <w:color w:val="000000"/>
          <w:kern w:val="0"/>
          <w:sz w:val="22"/>
          <w:szCs w:val="22"/>
          <w:lang w:val="fr-FR" w:eastAsia="en-US"/>
        </w:rPr>
        <w:t>e</w:t>
      </w:r>
      <w:r w:rsidRPr="00670028">
        <w:rPr>
          <w:rFonts w:ascii="Calibri" w:eastAsia="Times New Roman" w:hAnsi="Calibri" w:cs="Calibri"/>
          <w:color w:val="000000"/>
          <w:kern w:val="0"/>
          <w:sz w:val="22"/>
          <w:szCs w:val="22"/>
          <w:lang w:val="fr-FR" w:eastAsia="en-US"/>
        </w:rPr>
        <w:t>ls par exemple) concernant les années 2021/2022 ne sont pas produits – ce qui aurait</w:t>
      </w:r>
      <w:r w:rsidR="00F07B64">
        <w:rPr>
          <w:rFonts w:ascii="Calibri" w:eastAsia="Times New Roman" w:hAnsi="Calibri" w:cs="Calibri"/>
          <w:color w:val="000000"/>
          <w:kern w:val="0"/>
          <w:sz w:val="22"/>
          <w:szCs w:val="22"/>
          <w:lang w:val="fr-FR" w:eastAsia="en-US"/>
        </w:rPr>
        <w:t xml:space="preserve"> potentiellement</w:t>
      </w:r>
      <w:r w:rsidRPr="00670028">
        <w:rPr>
          <w:rFonts w:ascii="Calibri" w:eastAsia="Times New Roman" w:hAnsi="Calibri" w:cs="Calibri"/>
          <w:color w:val="000000"/>
          <w:kern w:val="0"/>
          <w:sz w:val="22"/>
          <w:szCs w:val="22"/>
          <w:lang w:val="fr-FR" w:eastAsia="en-US"/>
        </w:rPr>
        <w:t xml:space="preserve"> permis d’établir une perte de bénéficie effective, l’année 2020, seule concernée par ce document, ne doit pas être considérée comme une année de référence sur le marché des services.</w:t>
      </w:r>
    </w:p>
    <w:p w14:paraId="6EA6902D" w14:textId="405CD0A8" w:rsidR="00653766"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L’origine de la réduction du chiffre d’affaire et de la clientèle de la société PROMAS peut s’expliquer de plusieurs manière. Ainsi, la société PROMAS – comme toute société commerciale qui se fournit notamment en Chine, a vu ses activités fortement ralenties en raison de la crise sanitaire. En outre, l’absence d’engagement d’un nouveau représentant de commerce au départ de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a nécessairement eu pour effet de réduire la clientèle. Enfin, la nature des activités des deux sociétés concurrentes, la vente d’objet publicitaire, est destinée à une clientèle volatile, propice au droit de la concurrence. </w:t>
      </w:r>
    </w:p>
    <w:p w14:paraId="4C56FAA6" w14:textId="6CF0FC78" w:rsidR="00670028" w:rsidRPr="00670028" w:rsidRDefault="00670028" w:rsidP="00670028">
      <w:pPr>
        <w:widowControl/>
        <w:suppressAutoHyphens w:val="0"/>
        <w:autoSpaceDN/>
        <w:spacing w:before="240" w:after="193" w:line="317" w:lineRule="exact"/>
        <w:ind w:right="72"/>
        <w:jc w:val="both"/>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En définitive, il apparait que la société PROMAS sollicite l’indemnisation de la perte d’une chance de conserver une clientèle déterminée. </w:t>
      </w:r>
      <w:r w:rsidR="00F07B64">
        <w:rPr>
          <w:rFonts w:ascii="Calibri" w:eastAsia="Times New Roman" w:hAnsi="Calibri" w:cs="Calibri"/>
          <w:color w:val="000000"/>
          <w:kern w:val="0"/>
          <w:sz w:val="22"/>
          <w:szCs w:val="22"/>
          <w:lang w:val="fr-FR" w:eastAsia="en-US"/>
        </w:rPr>
        <w:t>C</w:t>
      </w:r>
      <w:r w:rsidRPr="00670028">
        <w:rPr>
          <w:rFonts w:ascii="Calibri" w:eastAsia="Times New Roman" w:hAnsi="Calibri" w:cs="Calibri"/>
          <w:color w:val="000000"/>
          <w:kern w:val="0"/>
          <w:sz w:val="22"/>
          <w:szCs w:val="22"/>
          <w:lang w:val="fr-FR" w:eastAsia="en-US"/>
        </w:rPr>
        <w:t>omme l’a récemment rappelé la Cour de cassation, la perte d’une chance est un dommage indemnisable lorsqu’elle est certaine c’est-à-dire si, à cause de la faute reprochée, il y a la perte d’un avantage probable</w:t>
      </w:r>
      <w:r w:rsidRPr="00670028">
        <w:rPr>
          <w:rFonts w:ascii="Calibri" w:eastAsia="Times New Roman" w:hAnsi="Calibri" w:cs="Calibri"/>
          <w:color w:val="000000"/>
          <w:kern w:val="0"/>
          <w:sz w:val="22"/>
          <w:szCs w:val="22"/>
          <w:vertAlign w:val="superscript"/>
          <w:lang w:val="fr-FR" w:eastAsia="en-US"/>
        </w:rPr>
        <w:footnoteReference w:id="45"/>
      </w:r>
      <w:r w:rsidRPr="00670028">
        <w:rPr>
          <w:rFonts w:ascii="Calibri" w:eastAsia="Times New Roman" w:hAnsi="Calibri" w:cs="Calibri"/>
          <w:color w:val="000000"/>
          <w:kern w:val="0"/>
          <w:sz w:val="22"/>
          <w:szCs w:val="22"/>
          <w:lang w:val="fr-FR" w:eastAsia="en-US"/>
        </w:rPr>
        <w:t xml:space="preserve">. </w:t>
      </w:r>
    </w:p>
    <w:p w14:paraId="3FDA833A" w14:textId="444FA9F0" w:rsidR="00670028" w:rsidRPr="00670028" w:rsidRDefault="00670028" w:rsidP="00670028">
      <w:pPr>
        <w:widowControl/>
        <w:suppressAutoHyphens w:val="0"/>
        <w:autoSpaceDN/>
        <w:spacing w:after="160" w:line="256" w:lineRule="auto"/>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En l’espèce, il n’existe aucune certitude que la perte de la clientèle soit due à l’intervention professionnelle de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 xml:space="preserve">onsieur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xml:space="preserve">, avant ou pendant son engagement par la société MDL. La diminution du bénéfice peut s’expliquer par d’autres facteurs que l’intervention de </w:t>
      </w:r>
      <w:r w:rsidR="00653766">
        <w:rPr>
          <w:rFonts w:ascii="Calibri" w:eastAsia="Times New Roman" w:hAnsi="Calibri" w:cs="Calibri"/>
          <w:color w:val="000000"/>
          <w:kern w:val="0"/>
          <w:sz w:val="22"/>
          <w:szCs w:val="22"/>
          <w:lang w:val="fr-FR" w:eastAsia="en-US"/>
        </w:rPr>
        <w:t>M</w:t>
      </w:r>
      <w:r w:rsidRPr="00670028">
        <w:rPr>
          <w:rFonts w:ascii="Calibri" w:eastAsia="Times New Roman" w:hAnsi="Calibri" w:cs="Calibri"/>
          <w:color w:val="000000"/>
          <w:kern w:val="0"/>
          <w:sz w:val="22"/>
          <w:szCs w:val="22"/>
          <w:lang w:val="fr-FR" w:eastAsia="en-US"/>
        </w:rPr>
        <w:t>onsieur</w:t>
      </w:r>
      <w:r w:rsidR="00653766">
        <w:rPr>
          <w:rFonts w:ascii="Calibri" w:eastAsia="Times New Roman" w:hAnsi="Calibri" w:cs="Calibri"/>
          <w:color w:val="000000"/>
          <w:kern w:val="0"/>
          <w:sz w:val="22"/>
          <w:szCs w:val="22"/>
          <w:lang w:val="fr-FR" w:eastAsia="en-US"/>
        </w:rPr>
        <w:t> </w:t>
      </w:r>
      <w:r w:rsidR="00AA321F">
        <w:rPr>
          <w:rFonts w:ascii="Calibri" w:eastAsia="Times New Roman" w:hAnsi="Calibri" w:cs="Calibri"/>
          <w:color w:val="000000"/>
          <w:kern w:val="0"/>
          <w:sz w:val="22"/>
          <w:szCs w:val="22"/>
          <w:lang w:val="fr-FR" w:eastAsia="en-US"/>
        </w:rPr>
        <w:t>K</w:t>
      </w:r>
      <w:r w:rsidRPr="00670028">
        <w:rPr>
          <w:rFonts w:ascii="Calibri" w:eastAsia="Times New Roman" w:hAnsi="Calibri" w:cs="Calibri"/>
          <w:color w:val="000000"/>
          <w:kern w:val="0"/>
          <w:sz w:val="22"/>
          <w:szCs w:val="22"/>
          <w:lang w:val="fr-FR" w:eastAsia="en-US"/>
        </w:rPr>
        <w:t>, alors que le dommage lié à la concurrence de ce dernier n’est pas établi. C’est d’ailleurs en ce que sens que la Cour du travail de LIEGE a rappelé que la clientèle constitue une « </w:t>
      </w:r>
      <w:r w:rsidRPr="00670028">
        <w:rPr>
          <w:rFonts w:ascii="Calibri" w:eastAsia="Times New Roman" w:hAnsi="Calibri" w:cs="Calibri"/>
          <w:i/>
          <w:iCs/>
          <w:color w:val="000000"/>
          <w:kern w:val="0"/>
          <w:sz w:val="22"/>
          <w:szCs w:val="22"/>
          <w:lang w:val="fr-FR" w:eastAsia="en-US"/>
        </w:rPr>
        <w:t>res nullius</w:t>
      </w:r>
      <w:r w:rsidRPr="00670028">
        <w:rPr>
          <w:rFonts w:ascii="Calibri" w:eastAsia="Times New Roman" w:hAnsi="Calibri" w:cs="Calibri"/>
          <w:color w:val="000000"/>
          <w:kern w:val="0"/>
          <w:sz w:val="22"/>
          <w:szCs w:val="22"/>
          <w:lang w:val="fr-FR" w:eastAsia="en-US"/>
        </w:rPr>
        <w:t> », sur laquelle personne n’a de droit acquis, alors que le démarchage n’est pas interdit</w:t>
      </w:r>
      <w:r w:rsidRPr="00670028">
        <w:rPr>
          <w:rFonts w:ascii="Calibri" w:eastAsia="Times New Roman" w:hAnsi="Calibri" w:cs="Calibri"/>
          <w:color w:val="000000"/>
          <w:kern w:val="0"/>
          <w:sz w:val="22"/>
          <w:szCs w:val="22"/>
          <w:vertAlign w:val="superscript"/>
          <w:lang w:val="fr-FR" w:eastAsia="en-US"/>
        </w:rPr>
        <w:footnoteReference w:id="46"/>
      </w:r>
      <w:r w:rsidRPr="00670028">
        <w:rPr>
          <w:rFonts w:ascii="Calibri" w:eastAsia="Times New Roman" w:hAnsi="Calibri" w:cs="Calibri"/>
          <w:color w:val="000000"/>
          <w:kern w:val="0"/>
          <w:sz w:val="22"/>
          <w:szCs w:val="22"/>
          <w:lang w:val="fr-FR" w:eastAsia="en-US"/>
        </w:rPr>
        <w:t xml:space="preserve">. </w:t>
      </w:r>
    </w:p>
    <w:p w14:paraId="3CE92881" w14:textId="77777777" w:rsidR="00670028" w:rsidRPr="00670028" w:rsidRDefault="00670028" w:rsidP="00670028">
      <w:pPr>
        <w:widowControl/>
        <w:suppressAutoHyphens w:val="0"/>
        <w:autoSpaceDN/>
        <w:spacing w:after="160" w:line="256" w:lineRule="auto"/>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De ces considérations, il faut conclure que la société PROMAS n’établit aucun commencement de preuve d’un dommage, imputable à la société MLD CONCEPT, et en lien causal avec sa participation fautive à la violation de la clause de non concurrence. </w:t>
      </w:r>
    </w:p>
    <w:p w14:paraId="57C3ADEF" w14:textId="37A5903D" w:rsidR="00670028" w:rsidRDefault="00670028" w:rsidP="00670028">
      <w:pPr>
        <w:widowControl/>
        <w:suppressAutoHyphens w:val="0"/>
        <w:autoSpaceDN/>
        <w:spacing w:after="160" w:line="256" w:lineRule="auto"/>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 xml:space="preserve">La mesure d’expertise sollicitée n’est dès lors pas nécessaire.  </w:t>
      </w:r>
    </w:p>
    <w:p w14:paraId="590AB435" w14:textId="5F827CDC" w:rsidR="005A06EF" w:rsidRPr="005A06EF" w:rsidRDefault="005A06EF" w:rsidP="00670028">
      <w:pPr>
        <w:widowControl/>
        <w:suppressAutoHyphens w:val="0"/>
        <w:autoSpaceDN/>
        <w:spacing w:after="160" w:line="256" w:lineRule="auto"/>
        <w:jc w:val="both"/>
        <w:textAlignment w:val="auto"/>
        <w:rPr>
          <w:rFonts w:asciiTheme="minorHAnsi" w:eastAsia="Tahoma" w:hAnsiTheme="minorHAnsi" w:cstheme="minorHAnsi"/>
          <w:i/>
          <w:iCs/>
          <w:color w:val="000000"/>
          <w:spacing w:val="8"/>
          <w:sz w:val="22"/>
          <w:szCs w:val="22"/>
          <w:lang w:val="fr-FR"/>
        </w:rPr>
      </w:pPr>
      <w:r>
        <w:rPr>
          <w:rFonts w:ascii="Calibri" w:eastAsia="Times New Roman" w:hAnsi="Calibri" w:cs="Calibri"/>
          <w:color w:val="000000"/>
          <w:kern w:val="0"/>
          <w:sz w:val="22"/>
          <w:szCs w:val="22"/>
          <w:lang w:val="fr-FR" w:eastAsia="en-US"/>
        </w:rPr>
        <w:t xml:space="preserve">Surabondamment, il y a lieu de rappeler que </w:t>
      </w:r>
      <w:r w:rsidRPr="005A06EF">
        <w:rPr>
          <w:rFonts w:asciiTheme="minorHAnsi" w:eastAsia="Tahoma" w:hAnsiTheme="minorHAnsi" w:cstheme="minorHAnsi"/>
          <w:i/>
          <w:iCs/>
          <w:color w:val="000000"/>
          <w:spacing w:val="8"/>
          <w:sz w:val="22"/>
          <w:szCs w:val="22"/>
          <w:lang w:val="fr-FR"/>
        </w:rPr>
        <w:t xml:space="preserve">« </w:t>
      </w:r>
      <w:r w:rsidRPr="005A06EF">
        <w:rPr>
          <w:rFonts w:asciiTheme="minorHAnsi" w:eastAsia="Arial" w:hAnsiTheme="minorHAnsi" w:cstheme="minorHAnsi"/>
          <w:i/>
          <w:iCs/>
          <w:color w:val="000000"/>
          <w:spacing w:val="8"/>
          <w:sz w:val="22"/>
          <w:szCs w:val="22"/>
          <w:lang w:val="fr-FR"/>
        </w:rPr>
        <w:t>l'expertise judiciaire constitue un mode de preuve. Mais l'octroi du bénéfice de ce mode de preuve n'est pas automatique : il revient à la partie qui en sollicite l'usage de fournir au préalable, certes pas la preuve elle-même, mais un commencement de preuve, voire au minimum un simple indice</w:t>
      </w:r>
      <w:r w:rsidRPr="005A06EF">
        <w:rPr>
          <w:rFonts w:asciiTheme="minorHAnsi" w:eastAsia="Tahoma" w:hAnsiTheme="minorHAnsi" w:cstheme="minorHAnsi"/>
          <w:i/>
          <w:iCs/>
          <w:color w:val="000000"/>
          <w:spacing w:val="8"/>
          <w:sz w:val="22"/>
          <w:szCs w:val="22"/>
          <w:lang w:val="fr-FR"/>
        </w:rPr>
        <w:t xml:space="preserve">. [...] </w:t>
      </w:r>
      <w:r w:rsidRPr="005A06EF">
        <w:rPr>
          <w:rFonts w:asciiTheme="minorHAnsi" w:eastAsia="Arial" w:hAnsiTheme="minorHAnsi" w:cstheme="minorHAnsi"/>
          <w:i/>
          <w:iCs/>
          <w:color w:val="000000"/>
          <w:spacing w:val="8"/>
          <w:sz w:val="22"/>
          <w:szCs w:val="22"/>
          <w:lang w:val="fr-FR"/>
        </w:rPr>
        <w:t xml:space="preserve">Cette exigence est quelquefois traduite par la formule selon laquelle "une expertise judiciaire se mérite" </w:t>
      </w:r>
      <w:r w:rsidRPr="005A06EF">
        <w:rPr>
          <w:rFonts w:asciiTheme="minorHAnsi" w:eastAsia="Tahoma" w:hAnsiTheme="minorHAnsi" w:cstheme="minorHAnsi"/>
          <w:i/>
          <w:iCs/>
          <w:color w:val="000000"/>
          <w:spacing w:val="8"/>
          <w:sz w:val="22"/>
          <w:szCs w:val="22"/>
          <w:lang w:val="fr-FR"/>
        </w:rPr>
        <w:t>»</w:t>
      </w:r>
      <w:r>
        <w:rPr>
          <w:rStyle w:val="Appelnotedebasdep"/>
          <w:rFonts w:asciiTheme="minorHAnsi" w:eastAsia="Tahoma" w:hAnsiTheme="minorHAnsi" w:cstheme="minorHAnsi"/>
          <w:i/>
          <w:iCs/>
          <w:color w:val="000000"/>
          <w:spacing w:val="8"/>
          <w:sz w:val="22"/>
          <w:szCs w:val="22"/>
          <w:lang w:val="fr-FR"/>
        </w:rPr>
        <w:footnoteReference w:id="47"/>
      </w:r>
      <w:r>
        <w:rPr>
          <w:rFonts w:asciiTheme="minorHAnsi" w:eastAsia="Tahoma" w:hAnsiTheme="minorHAnsi" w:cstheme="minorHAnsi"/>
          <w:i/>
          <w:iCs/>
          <w:color w:val="000000"/>
          <w:spacing w:val="8"/>
          <w:sz w:val="22"/>
          <w:szCs w:val="22"/>
          <w:lang w:val="fr-FR"/>
        </w:rPr>
        <w:t>.</w:t>
      </w:r>
    </w:p>
    <w:p w14:paraId="144BF6E9" w14:textId="628E8AD3" w:rsidR="00653766" w:rsidRPr="00670028" w:rsidRDefault="00670028" w:rsidP="00670028">
      <w:pPr>
        <w:widowControl/>
        <w:suppressAutoHyphens w:val="0"/>
        <w:autoSpaceDN/>
        <w:spacing w:after="160" w:line="256" w:lineRule="auto"/>
        <w:jc w:val="both"/>
        <w:textAlignment w:val="auto"/>
        <w:rPr>
          <w:rFonts w:ascii="Calibri" w:eastAsia="Times New Roman" w:hAnsi="Calibri" w:cs="Calibri"/>
          <w:color w:val="000000"/>
          <w:kern w:val="0"/>
          <w:sz w:val="22"/>
          <w:szCs w:val="22"/>
          <w:lang w:val="fr-FR" w:eastAsia="en-US"/>
        </w:rPr>
      </w:pPr>
      <w:r w:rsidRPr="00670028">
        <w:rPr>
          <w:rFonts w:ascii="Calibri" w:eastAsia="Times New Roman" w:hAnsi="Calibri" w:cs="Calibri"/>
          <w:color w:val="000000"/>
          <w:kern w:val="0"/>
          <w:sz w:val="22"/>
          <w:szCs w:val="22"/>
          <w:lang w:val="fr-FR" w:eastAsia="en-US"/>
        </w:rPr>
        <w:t>La demande de condamnation</w:t>
      </w:r>
      <w:r w:rsidR="005A06EF">
        <w:rPr>
          <w:rFonts w:ascii="Calibri" w:eastAsia="Times New Roman" w:hAnsi="Calibri" w:cs="Calibri"/>
          <w:color w:val="000000"/>
          <w:kern w:val="0"/>
          <w:sz w:val="22"/>
          <w:szCs w:val="22"/>
          <w:lang w:val="fr-FR" w:eastAsia="en-US"/>
        </w:rPr>
        <w:t xml:space="preserve"> à la somme d’un euro provisionnel,</w:t>
      </w:r>
      <w:r w:rsidRPr="00670028">
        <w:rPr>
          <w:rFonts w:ascii="Calibri" w:eastAsia="Times New Roman" w:hAnsi="Calibri" w:cs="Calibri"/>
          <w:color w:val="000000"/>
          <w:kern w:val="0"/>
          <w:sz w:val="22"/>
          <w:szCs w:val="22"/>
          <w:lang w:val="fr-FR" w:eastAsia="en-US"/>
        </w:rPr>
        <w:t xml:space="preserve"> dirigée contre la société MLD CONCEPT</w:t>
      </w:r>
      <w:r w:rsidR="005A06EF">
        <w:rPr>
          <w:rFonts w:ascii="Calibri" w:eastAsia="Times New Roman" w:hAnsi="Calibri" w:cs="Calibri"/>
          <w:color w:val="000000"/>
          <w:kern w:val="0"/>
          <w:sz w:val="22"/>
          <w:szCs w:val="22"/>
          <w:lang w:val="fr-FR" w:eastAsia="en-US"/>
        </w:rPr>
        <w:t>,</w:t>
      </w:r>
      <w:r w:rsidRPr="00670028">
        <w:rPr>
          <w:rFonts w:ascii="Calibri" w:eastAsia="Times New Roman" w:hAnsi="Calibri" w:cs="Calibri"/>
          <w:color w:val="000000"/>
          <w:kern w:val="0"/>
          <w:sz w:val="22"/>
          <w:szCs w:val="22"/>
          <w:lang w:val="fr-FR" w:eastAsia="en-US"/>
        </w:rPr>
        <w:t xml:space="preserve"> est non fondée.  </w:t>
      </w:r>
    </w:p>
    <w:p w14:paraId="2A7F7EFF" w14:textId="77777777" w:rsidR="00670028" w:rsidRPr="00670028" w:rsidRDefault="00670028" w:rsidP="00670028">
      <w:pPr>
        <w:widowControl/>
        <w:suppressAutoHyphens w:val="0"/>
        <w:autoSpaceDN/>
        <w:spacing w:after="160" w:line="256" w:lineRule="auto"/>
        <w:jc w:val="center"/>
        <w:textAlignment w:val="auto"/>
        <w:rPr>
          <w:rFonts w:ascii="Calibri" w:eastAsia="Calibri" w:hAnsi="Calibri" w:cs="Calibri"/>
          <w:b/>
          <w:kern w:val="0"/>
          <w:sz w:val="22"/>
          <w:szCs w:val="22"/>
          <w:u w:val="single"/>
          <w:lang w:eastAsia="en-US"/>
        </w:rPr>
      </w:pPr>
      <w:r w:rsidRPr="00670028">
        <w:rPr>
          <w:rFonts w:ascii="Calibri" w:eastAsia="Calibri" w:hAnsi="Calibri" w:cs="Calibri"/>
          <w:b/>
          <w:kern w:val="0"/>
          <w:sz w:val="22"/>
          <w:szCs w:val="22"/>
          <w:u w:val="single"/>
          <w:lang w:eastAsia="en-US"/>
        </w:rPr>
        <w:t>DECISION DU TRIBUNAL</w:t>
      </w:r>
    </w:p>
    <w:p w14:paraId="7837C564"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0E9C757B"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Le Tribunal, statuant publiquement et contradictoirement,</w:t>
      </w:r>
    </w:p>
    <w:p w14:paraId="2353B5BE"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Après avoir délibéré,</w:t>
      </w:r>
    </w:p>
    <w:p w14:paraId="5D700D7E"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Reçoit le recours,</w:t>
      </w:r>
    </w:p>
    <w:p w14:paraId="2EC281F3" w14:textId="13CC130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 xml:space="preserve">Le dit partiellement fondé en ce qu’il est dirigé contre </w:t>
      </w:r>
      <w:r w:rsidR="00653766">
        <w:rPr>
          <w:rFonts w:ascii="Calibri" w:eastAsia="Calibri" w:hAnsi="Calibri" w:cs="Calibri"/>
          <w:kern w:val="0"/>
          <w:sz w:val="22"/>
          <w:szCs w:val="22"/>
          <w:lang w:eastAsia="en-US"/>
        </w:rPr>
        <w:t>M</w:t>
      </w:r>
      <w:r w:rsidRPr="00670028">
        <w:rPr>
          <w:rFonts w:ascii="Calibri" w:eastAsia="Calibri" w:hAnsi="Calibri" w:cs="Calibri"/>
          <w:kern w:val="0"/>
          <w:sz w:val="22"/>
          <w:szCs w:val="22"/>
          <w:lang w:eastAsia="en-US"/>
        </w:rPr>
        <w:t xml:space="preserve">onsieus </w:t>
      </w:r>
      <w:r w:rsidR="00AA321F">
        <w:rPr>
          <w:rFonts w:ascii="Calibri" w:eastAsia="Calibri" w:hAnsi="Calibri" w:cs="Calibri"/>
          <w:kern w:val="0"/>
          <w:sz w:val="22"/>
          <w:szCs w:val="22"/>
          <w:lang w:eastAsia="en-US"/>
        </w:rPr>
        <w:t>K</w:t>
      </w:r>
      <w:r w:rsidRPr="00670028">
        <w:rPr>
          <w:rFonts w:ascii="Calibri" w:eastAsia="Calibri" w:hAnsi="Calibri" w:cs="Calibri"/>
          <w:kern w:val="0"/>
          <w:sz w:val="22"/>
          <w:szCs w:val="22"/>
          <w:lang w:eastAsia="en-US"/>
        </w:rPr>
        <w:t>,</w:t>
      </w:r>
    </w:p>
    <w:p w14:paraId="770025AF" w14:textId="2BE516A8"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 xml:space="preserve">Le dit </w:t>
      </w:r>
      <w:r w:rsidR="005A06EF">
        <w:rPr>
          <w:rFonts w:ascii="Calibri" w:eastAsia="Calibri" w:hAnsi="Calibri" w:cs="Calibri"/>
          <w:kern w:val="0"/>
          <w:sz w:val="22"/>
          <w:szCs w:val="22"/>
          <w:lang w:eastAsia="en-US"/>
        </w:rPr>
        <w:t xml:space="preserve">partiellement </w:t>
      </w:r>
      <w:r w:rsidRPr="00670028">
        <w:rPr>
          <w:rFonts w:ascii="Calibri" w:eastAsia="Calibri" w:hAnsi="Calibri" w:cs="Calibri"/>
          <w:kern w:val="0"/>
          <w:sz w:val="22"/>
          <w:szCs w:val="22"/>
          <w:lang w:eastAsia="en-US"/>
        </w:rPr>
        <w:t>fondé en ce qu’il est dirigé contre la S.R.L MLD CONCEPT,</w:t>
      </w:r>
    </w:p>
    <w:p w14:paraId="5BB2A5AE" w14:textId="77777777" w:rsidR="00670028" w:rsidRPr="00670028" w:rsidRDefault="00670028" w:rsidP="00670028">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670028">
        <w:rPr>
          <w:rFonts w:ascii="Calibri" w:eastAsia="Calibri" w:hAnsi="Calibri" w:cs="Calibri"/>
          <w:kern w:val="0"/>
          <w:sz w:val="22"/>
          <w:szCs w:val="22"/>
          <w:lang w:eastAsia="en-US"/>
        </w:rPr>
        <w:t>Ce fait,</w:t>
      </w:r>
    </w:p>
    <w:p w14:paraId="6F8AEED5" w14:textId="5F748C78" w:rsidR="00670028" w:rsidRPr="005A06EF" w:rsidRDefault="00670028" w:rsidP="00670028">
      <w:pPr>
        <w:widowControl/>
        <w:suppressAutoHyphens w:val="0"/>
        <w:autoSpaceDN/>
        <w:spacing w:after="160" w:line="256" w:lineRule="auto"/>
        <w:jc w:val="both"/>
        <w:textAlignment w:val="auto"/>
        <w:rPr>
          <w:rFonts w:asciiTheme="minorHAnsi" w:eastAsia="Calibri" w:hAnsiTheme="minorHAnsi" w:cstheme="minorHAnsi"/>
          <w:kern w:val="0"/>
          <w:sz w:val="22"/>
          <w:szCs w:val="22"/>
          <w:lang w:eastAsia="en-US"/>
        </w:rPr>
      </w:pPr>
      <w:r w:rsidRPr="005A06EF">
        <w:rPr>
          <w:rFonts w:asciiTheme="minorHAnsi" w:eastAsia="Calibri" w:hAnsiTheme="minorHAnsi" w:cstheme="minorHAnsi"/>
          <w:kern w:val="0"/>
          <w:sz w:val="22"/>
          <w:szCs w:val="22"/>
          <w:lang w:eastAsia="en-US"/>
        </w:rPr>
        <w:t xml:space="preserve">Condamne </w:t>
      </w:r>
      <w:r w:rsidR="005A06EF" w:rsidRPr="005A06EF">
        <w:rPr>
          <w:rFonts w:asciiTheme="minorHAnsi" w:eastAsia="Arial" w:hAnsiTheme="minorHAnsi" w:cstheme="minorHAnsi"/>
          <w:i/>
          <w:color w:val="000000"/>
          <w:sz w:val="22"/>
          <w:szCs w:val="22"/>
          <w:lang w:val="fr-FR"/>
        </w:rPr>
        <w:t>in solidum</w:t>
      </w:r>
      <w:r w:rsidR="005A06EF" w:rsidRPr="005A06EF">
        <w:rPr>
          <w:rFonts w:asciiTheme="minorHAnsi" w:eastAsia="Tahoma" w:hAnsiTheme="minorHAnsi" w:cstheme="minorHAnsi"/>
          <w:color w:val="000000"/>
          <w:sz w:val="22"/>
          <w:szCs w:val="22"/>
          <w:lang w:val="fr-FR"/>
        </w:rPr>
        <w:t xml:space="preserve"> Monsieur </w:t>
      </w:r>
      <w:r w:rsidR="00AA321F">
        <w:rPr>
          <w:rFonts w:asciiTheme="minorHAnsi" w:eastAsia="Tahoma" w:hAnsiTheme="minorHAnsi" w:cstheme="minorHAnsi"/>
          <w:color w:val="000000"/>
          <w:sz w:val="22"/>
          <w:szCs w:val="22"/>
          <w:lang w:val="fr-FR"/>
        </w:rPr>
        <w:t>K</w:t>
      </w:r>
      <w:r w:rsidR="005A06EF" w:rsidRPr="005A06EF">
        <w:rPr>
          <w:rFonts w:asciiTheme="minorHAnsi" w:eastAsia="Tahoma" w:hAnsiTheme="minorHAnsi" w:cstheme="minorHAnsi"/>
          <w:color w:val="000000"/>
          <w:sz w:val="22"/>
          <w:szCs w:val="22"/>
          <w:lang w:val="fr-FR"/>
        </w:rPr>
        <w:t xml:space="preserve"> et la S.R.L. MLD CONCEPT à payer à la S.A. PROMAS INTER</w:t>
      </w:r>
      <w:r w:rsidR="005A06EF">
        <w:rPr>
          <w:rFonts w:asciiTheme="minorHAnsi" w:eastAsia="Tahoma" w:hAnsiTheme="minorHAnsi" w:cstheme="minorHAnsi"/>
          <w:color w:val="000000"/>
          <w:sz w:val="22"/>
          <w:szCs w:val="22"/>
          <w:lang w:val="fr-FR"/>
        </w:rPr>
        <w:t>NATION</w:t>
      </w:r>
      <w:r w:rsidR="005A06EF" w:rsidRPr="005A06EF">
        <w:rPr>
          <w:rFonts w:asciiTheme="minorHAnsi" w:eastAsia="Tahoma" w:hAnsiTheme="minorHAnsi" w:cstheme="minorHAnsi"/>
          <w:color w:val="000000"/>
          <w:sz w:val="22"/>
          <w:szCs w:val="22"/>
          <w:lang w:val="fr-FR"/>
        </w:rPr>
        <w:t>AL la somme de 23.963,35 €, à majorer des intérêts compensatoires au taux légal à dater de la rupture du contrat de travail, intervenue le</w:t>
      </w:r>
      <w:r w:rsidR="005A06EF" w:rsidRPr="005A06EF">
        <w:rPr>
          <w:rFonts w:asciiTheme="minorHAnsi" w:eastAsia="Tahoma" w:hAnsiTheme="minorHAnsi" w:cstheme="minorHAnsi"/>
          <w:color w:val="000000"/>
          <w:sz w:val="22"/>
          <w:szCs w:val="22"/>
          <w:vertAlign w:val="superscript"/>
          <w:lang w:val="fr-FR"/>
        </w:rPr>
        <w:t xml:space="preserve"> 1er</w:t>
      </w:r>
      <w:r w:rsidR="005A06EF" w:rsidRPr="005A06EF">
        <w:rPr>
          <w:rFonts w:asciiTheme="minorHAnsi" w:eastAsia="Tahoma" w:hAnsiTheme="minorHAnsi" w:cstheme="minorHAnsi"/>
          <w:color w:val="000000"/>
          <w:sz w:val="22"/>
          <w:szCs w:val="22"/>
          <w:lang w:val="fr-FR"/>
        </w:rPr>
        <w:t xml:space="preserve"> avril 2021, </w:t>
      </w:r>
      <w:r w:rsidRPr="005A06EF">
        <w:rPr>
          <w:rFonts w:asciiTheme="minorHAnsi" w:eastAsia="Calibri" w:hAnsiTheme="minorHAnsi" w:cstheme="minorHAnsi"/>
          <w:kern w:val="0"/>
          <w:sz w:val="22"/>
          <w:szCs w:val="22"/>
          <w:lang w:eastAsia="en-US"/>
        </w:rPr>
        <w:t>et jusqu’au complet paiement.</w:t>
      </w:r>
    </w:p>
    <w:p w14:paraId="3D5F7269" w14:textId="53A92A62" w:rsidR="00CE6C76" w:rsidRDefault="00CE6C76" w:rsidP="00585309">
      <w:pPr>
        <w:spacing w:before="168" w:after="9811" w:line="317" w:lineRule="exact"/>
        <w:ind w:right="142"/>
        <w:contextualSpacing/>
        <w:jc w:val="both"/>
        <w:rPr>
          <w:rFonts w:asciiTheme="minorHAnsi" w:eastAsia="Tahoma" w:hAnsiTheme="minorHAnsi" w:cstheme="minorHAnsi"/>
          <w:color w:val="000000"/>
          <w:sz w:val="22"/>
          <w:szCs w:val="22"/>
          <w:lang w:val="fr-FR"/>
        </w:rPr>
      </w:pPr>
      <w:r>
        <w:rPr>
          <w:rFonts w:asciiTheme="minorHAnsi" w:eastAsia="Tahoma" w:hAnsiTheme="minorHAnsi" w:cstheme="minorHAnsi"/>
          <w:color w:val="000000"/>
          <w:sz w:val="22"/>
          <w:szCs w:val="22"/>
          <w:lang w:val="fr-FR"/>
        </w:rPr>
        <w:t>Déboute la S.A. PROMAS INTERNATIONAL pour le surplus,</w:t>
      </w:r>
    </w:p>
    <w:p w14:paraId="1BCBD5EF" w14:textId="77777777" w:rsidR="00CE6C76" w:rsidRDefault="00CE6C76" w:rsidP="00585309">
      <w:pPr>
        <w:spacing w:before="168" w:after="9811" w:line="317" w:lineRule="exact"/>
        <w:ind w:right="142"/>
        <w:contextualSpacing/>
        <w:jc w:val="both"/>
        <w:rPr>
          <w:rFonts w:asciiTheme="minorHAnsi" w:eastAsia="Tahoma" w:hAnsiTheme="minorHAnsi" w:cstheme="minorHAnsi"/>
          <w:color w:val="000000"/>
          <w:sz w:val="22"/>
          <w:szCs w:val="22"/>
          <w:lang w:val="fr-FR"/>
        </w:rPr>
      </w:pPr>
    </w:p>
    <w:p w14:paraId="527EA81B" w14:textId="59F972D4" w:rsidR="005A06EF" w:rsidRDefault="005A06EF" w:rsidP="00585309">
      <w:pPr>
        <w:spacing w:before="168" w:after="9811" w:line="317" w:lineRule="exact"/>
        <w:ind w:right="142"/>
        <w:contextualSpacing/>
        <w:jc w:val="both"/>
        <w:rPr>
          <w:rFonts w:asciiTheme="minorHAnsi" w:eastAsia="Tahoma" w:hAnsiTheme="minorHAnsi" w:cstheme="minorHAnsi"/>
          <w:color w:val="000000"/>
          <w:sz w:val="22"/>
          <w:szCs w:val="22"/>
          <w:lang w:val="fr-FR"/>
        </w:rPr>
      </w:pPr>
      <w:r w:rsidRPr="005A06EF">
        <w:rPr>
          <w:rFonts w:asciiTheme="minorHAnsi" w:eastAsia="Tahoma" w:hAnsiTheme="minorHAnsi" w:cstheme="minorHAnsi"/>
          <w:color w:val="000000"/>
          <w:sz w:val="22"/>
          <w:szCs w:val="22"/>
          <w:lang w:val="fr-FR"/>
        </w:rPr>
        <w:t>Condamne</w:t>
      </w:r>
      <w:r w:rsidRPr="005A06EF">
        <w:rPr>
          <w:rFonts w:asciiTheme="minorHAnsi" w:eastAsia="Arial" w:hAnsiTheme="minorHAnsi" w:cstheme="minorHAnsi"/>
          <w:i/>
          <w:color w:val="000000"/>
          <w:sz w:val="22"/>
          <w:szCs w:val="22"/>
          <w:lang w:val="fr-FR"/>
        </w:rPr>
        <w:t xml:space="preserve"> in solidum</w:t>
      </w:r>
      <w:r w:rsidRPr="005A06EF">
        <w:rPr>
          <w:rFonts w:asciiTheme="minorHAnsi" w:eastAsia="Tahoma" w:hAnsiTheme="minorHAnsi" w:cstheme="minorHAnsi"/>
          <w:color w:val="000000"/>
          <w:sz w:val="22"/>
          <w:szCs w:val="22"/>
          <w:lang w:val="fr-FR"/>
        </w:rPr>
        <w:t xml:space="preserve"> Monsieur</w:t>
      </w:r>
      <w:r>
        <w:rPr>
          <w:rFonts w:asciiTheme="minorHAnsi" w:eastAsia="Tahoma" w:hAnsiTheme="minorHAnsi" w:cstheme="minorHAnsi"/>
          <w:color w:val="000000"/>
          <w:sz w:val="22"/>
          <w:szCs w:val="22"/>
          <w:lang w:val="fr-FR"/>
        </w:rPr>
        <w:t xml:space="preserve"> </w:t>
      </w:r>
      <w:r w:rsidR="00AA321F">
        <w:rPr>
          <w:rFonts w:asciiTheme="minorHAnsi" w:eastAsia="Tahoma" w:hAnsiTheme="minorHAnsi" w:cstheme="minorHAnsi"/>
          <w:color w:val="000000"/>
          <w:sz w:val="22"/>
          <w:szCs w:val="22"/>
          <w:lang w:val="fr-FR"/>
        </w:rPr>
        <w:t>K</w:t>
      </w:r>
      <w:r w:rsidRPr="005A06EF">
        <w:rPr>
          <w:rFonts w:asciiTheme="minorHAnsi" w:eastAsia="Tahoma" w:hAnsiTheme="minorHAnsi" w:cstheme="minorHAnsi"/>
          <w:color w:val="000000"/>
          <w:sz w:val="22"/>
          <w:szCs w:val="22"/>
          <w:lang w:val="fr-FR"/>
        </w:rPr>
        <w:t xml:space="preserve"> et la S.R.L. MLD CONCEPT aux dépens </w:t>
      </w:r>
      <w:r w:rsidR="00585309">
        <w:rPr>
          <w:rFonts w:asciiTheme="minorHAnsi" w:eastAsia="Tahoma" w:hAnsiTheme="minorHAnsi" w:cstheme="minorHAnsi"/>
          <w:color w:val="000000"/>
          <w:sz w:val="22"/>
          <w:szCs w:val="22"/>
          <w:lang w:val="fr-FR"/>
        </w:rPr>
        <w:t>liquidés</w:t>
      </w:r>
      <w:r w:rsidRPr="005A06EF">
        <w:rPr>
          <w:rFonts w:asciiTheme="minorHAnsi" w:eastAsia="Tahoma" w:hAnsiTheme="minorHAnsi" w:cstheme="minorHAnsi"/>
          <w:color w:val="000000"/>
          <w:sz w:val="22"/>
          <w:szCs w:val="22"/>
          <w:lang w:val="fr-FR"/>
        </w:rPr>
        <w:t xml:space="preserve"> dans le chef de la S.A. PROMAS INTERNATIONAL à</w:t>
      </w:r>
      <w:r w:rsidRPr="005A06EF">
        <w:rPr>
          <w:rFonts w:asciiTheme="minorHAnsi" w:eastAsia="Tahoma" w:hAnsiTheme="minorHAnsi" w:cstheme="minorHAnsi"/>
          <w:b/>
          <w:color w:val="000000"/>
          <w:sz w:val="22"/>
          <w:szCs w:val="22"/>
          <w:lang w:val="fr-FR"/>
        </w:rPr>
        <w:t xml:space="preserve"> </w:t>
      </w:r>
      <w:r w:rsidRPr="005A06EF">
        <w:rPr>
          <w:rFonts w:asciiTheme="minorHAnsi" w:eastAsia="Tahoma" w:hAnsiTheme="minorHAnsi" w:cstheme="minorHAnsi"/>
          <w:bCs/>
          <w:color w:val="000000"/>
          <w:sz w:val="22"/>
          <w:szCs w:val="22"/>
          <w:lang w:val="fr-FR"/>
        </w:rPr>
        <w:t xml:space="preserve">3.091,78 </w:t>
      </w:r>
      <w:r>
        <w:rPr>
          <w:rFonts w:asciiTheme="minorHAnsi" w:eastAsia="Tahoma" w:hAnsiTheme="minorHAnsi" w:cstheme="minorHAnsi"/>
          <w:bCs/>
          <w:color w:val="000000"/>
          <w:sz w:val="22"/>
          <w:szCs w:val="22"/>
          <w:lang w:val="fr-FR"/>
        </w:rPr>
        <w:t xml:space="preserve">euros (frais de citation </w:t>
      </w:r>
      <w:r w:rsidRPr="005A06EF">
        <w:rPr>
          <w:rFonts w:asciiTheme="minorHAnsi" w:eastAsia="Tahoma" w:hAnsiTheme="minorHAnsi" w:cstheme="minorHAnsi"/>
          <w:color w:val="000000"/>
          <w:sz w:val="22"/>
          <w:szCs w:val="22"/>
          <w:lang w:val="fr-FR"/>
        </w:rPr>
        <w:t>291,78 €</w:t>
      </w:r>
      <w:r>
        <w:rPr>
          <w:rFonts w:asciiTheme="minorHAnsi" w:eastAsia="Tahoma" w:hAnsiTheme="minorHAnsi" w:cstheme="minorHAnsi"/>
          <w:color w:val="000000"/>
          <w:sz w:val="22"/>
          <w:szCs w:val="22"/>
          <w:lang w:val="fr-FR"/>
        </w:rPr>
        <w:t xml:space="preserve"> +</w:t>
      </w:r>
      <w:r w:rsidRPr="005A06EF">
        <w:rPr>
          <w:rFonts w:asciiTheme="minorHAnsi" w:eastAsia="Tahoma" w:hAnsiTheme="minorHAnsi" w:cstheme="minorHAnsi"/>
          <w:color w:val="000000"/>
          <w:sz w:val="22"/>
          <w:szCs w:val="22"/>
          <w:lang w:val="fr-FR"/>
        </w:rPr>
        <w:t xml:space="preserve"> l’indemnité de procédure (2.800,00 €)</w:t>
      </w:r>
      <w:r>
        <w:rPr>
          <w:rFonts w:asciiTheme="minorHAnsi" w:eastAsia="Tahoma" w:hAnsiTheme="minorHAnsi" w:cstheme="minorHAnsi"/>
          <w:color w:val="000000"/>
          <w:sz w:val="22"/>
          <w:szCs w:val="22"/>
          <w:lang w:val="fr-FR"/>
        </w:rPr>
        <w:t xml:space="preserve"> </w:t>
      </w:r>
      <w:r w:rsidR="00585309">
        <w:rPr>
          <w:rFonts w:asciiTheme="minorHAnsi" w:eastAsia="Tahoma" w:hAnsiTheme="minorHAnsi" w:cstheme="minorHAnsi"/>
          <w:color w:val="000000"/>
          <w:sz w:val="22"/>
          <w:szCs w:val="22"/>
          <w:lang w:val="fr-FR"/>
        </w:rPr>
        <w:t xml:space="preserve">ainsi qu’à la somme de 22 euros représentant la contribution au Fonds budgétaire relatif à l’aide juridique de deuxième ligne. </w:t>
      </w:r>
    </w:p>
    <w:p w14:paraId="14814088" w14:textId="096E9C9C" w:rsidR="00CE6C76" w:rsidRPr="005A06EF" w:rsidRDefault="00CE6C76" w:rsidP="00585309">
      <w:pPr>
        <w:spacing w:before="168" w:after="9811" w:line="317" w:lineRule="exact"/>
        <w:ind w:right="142"/>
        <w:contextualSpacing/>
        <w:jc w:val="both"/>
        <w:rPr>
          <w:rFonts w:asciiTheme="minorHAnsi" w:eastAsia="Tahoma" w:hAnsiTheme="minorHAnsi" w:cstheme="minorHAnsi"/>
          <w:color w:val="000000"/>
          <w:sz w:val="22"/>
          <w:szCs w:val="22"/>
          <w:lang w:val="fr-FR"/>
        </w:rPr>
      </w:pPr>
    </w:p>
    <w:p w14:paraId="2A0381D1" w14:textId="77777777" w:rsidR="006A7631" w:rsidRPr="005A06EF" w:rsidRDefault="006A7631" w:rsidP="006A7631">
      <w:pPr>
        <w:jc w:val="both"/>
        <w:rPr>
          <w:rFonts w:asciiTheme="minorHAnsi" w:hAnsiTheme="minorHAnsi" w:cstheme="minorHAnsi"/>
          <w:snapToGrid w:val="0"/>
          <w:sz w:val="22"/>
          <w:szCs w:val="22"/>
          <w:lang w:val="fr-FR" w:eastAsia="fr-FR"/>
        </w:rPr>
      </w:pPr>
    </w:p>
    <w:p w14:paraId="6398047E" w14:textId="64E0C1B1"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 xml:space="preserve">AINSI jugé par la </w:t>
      </w:r>
      <w:r w:rsidRPr="0034197A">
        <w:rPr>
          <w:rFonts w:asciiTheme="minorHAnsi" w:hAnsiTheme="minorHAnsi" w:cstheme="minorHAnsi"/>
          <w:b/>
          <w:sz w:val="22"/>
          <w:szCs w:val="22"/>
        </w:rPr>
        <w:t xml:space="preserve">Septième chambre  du Tribunal du Travail de Liège - Division </w:t>
      </w:r>
      <w:r w:rsidR="00F07B64">
        <w:rPr>
          <w:rFonts w:asciiTheme="minorHAnsi" w:hAnsiTheme="minorHAnsi" w:cstheme="minorHAnsi"/>
          <w:b/>
          <w:sz w:val="22"/>
          <w:szCs w:val="22"/>
        </w:rPr>
        <w:t xml:space="preserve">de </w:t>
      </w:r>
      <w:r w:rsidRPr="0034197A">
        <w:rPr>
          <w:rFonts w:asciiTheme="minorHAnsi" w:hAnsiTheme="minorHAnsi" w:cstheme="minorHAnsi"/>
          <w:b/>
          <w:sz w:val="22"/>
          <w:szCs w:val="22"/>
        </w:rPr>
        <w:t>Liège</w:t>
      </w:r>
      <w:r w:rsidRPr="0034197A">
        <w:rPr>
          <w:rFonts w:asciiTheme="minorHAnsi" w:hAnsiTheme="minorHAnsi" w:cstheme="minorHAnsi"/>
          <w:b/>
          <w:snapToGrid w:val="0"/>
          <w:sz w:val="22"/>
          <w:szCs w:val="22"/>
          <w:lang w:eastAsia="fr-FR"/>
        </w:rPr>
        <w:t xml:space="preserve"> composée de:</w:t>
      </w:r>
    </w:p>
    <w:p w14:paraId="59F1403F" w14:textId="0B00A02E"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DESIR SARAH,</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r>
      <w:r w:rsidR="00653766">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 xml:space="preserve">Juge, présidant la chambre, </w:t>
      </w:r>
    </w:p>
    <w:p w14:paraId="173A8F00" w14:textId="77777777"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JOLET ANTOINE,</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t xml:space="preserve">Juge social employeur, </w:t>
      </w:r>
    </w:p>
    <w:p w14:paraId="3C8CABDF" w14:textId="77777777"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MARIE GHISLAINE,</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t>Juge social employé,</w:t>
      </w:r>
    </w:p>
    <w:p w14:paraId="7BAA5EAD" w14:textId="77777777" w:rsidR="006A7631" w:rsidRPr="0034197A" w:rsidRDefault="006A7631" w:rsidP="006A7631">
      <w:pPr>
        <w:jc w:val="both"/>
        <w:rPr>
          <w:rFonts w:asciiTheme="minorHAnsi" w:hAnsiTheme="minorHAnsi" w:cstheme="minorHAnsi"/>
          <w:snapToGrid w:val="0"/>
          <w:sz w:val="22"/>
          <w:szCs w:val="22"/>
          <w:lang w:eastAsia="fr-FR"/>
        </w:rPr>
      </w:pPr>
    </w:p>
    <w:p w14:paraId="51FF1CCA" w14:textId="549F03BF" w:rsidR="006A7631" w:rsidRPr="0034197A" w:rsidRDefault="006A7631" w:rsidP="006A7631">
      <w:pPr>
        <w:jc w:val="both"/>
        <w:rPr>
          <w:rFonts w:asciiTheme="minorHAnsi" w:hAnsiTheme="minorHAnsi" w:cstheme="minorHAnsi"/>
          <w:b/>
          <w:sz w:val="22"/>
          <w:szCs w:val="22"/>
          <w:lang w:val="fr-FR"/>
        </w:rPr>
      </w:pPr>
      <w:r w:rsidRPr="0034197A">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30EB59F6644D4D0C8BF7D3790CEE8B39"/>
          </w:placeholder>
          <w:date w:fullDate="2023-02-10T00:00:00Z">
            <w:dateFormat w:val="dd/MM/yyyy"/>
            <w:lid w:val="fr-BE"/>
            <w:storeMappedDataAs w:val="dateTime"/>
            <w:calendar w:val="gregorian"/>
          </w:date>
        </w:sdtPr>
        <w:sdtEndPr/>
        <w:sdtContent>
          <w:r w:rsidR="00653766">
            <w:rPr>
              <w:rFonts w:asciiTheme="minorHAnsi" w:hAnsiTheme="minorHAnsi" w:cstheme="minorHAnsi"/>
              <w:b/>
              <w:sz w:val="22"/>
              <w:szCs w:val="22"/>
            </w:rPr>
            <w:t>10/02/2023</w:t>
          </w:r>
        </w:sdtContent>
      </w:sdt>
    </w:p>
    <w:p w14:paraId="43005AA8" w14:textId="36A6A630"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par DESIR SARAH,</w:t>
      </w:r>
      <w:r>
        <w:rPr>
          <w:rFonts w:asciiTheme="minorHAnsi" w:hAnsiTheme="minorHAnsi" w:cstheme="minorHAnsi"/>
          <w:snapToGrid w:val="0"/>
          <w:sz w:val="22"/>
          <w:szCs w:val="22"/>
          <w:lang w:eastAsia="fr-FR"/>
        </w:rPr>
        <w:t xml:space="preserve"> Juge, présidant la chambre,</w:t>
      </w:r>
      <w:r w:rsidRPr="0034197A">
        <w:rPr>
          <w:rFonts w:asciiTheme="minorHAnsi" w:hAnsiTheme="minorHAnsi" w:cstheme="minorHAnsi"/>
          <w:snapToGrid w:val="0"/>
          <w:sz w:val="22"/>
          <w:szCs w:val="22"/>
          <w:lang w:eastAsia="fr-FR"/>
        </w:rPr>
        <w:t xml:space="preserve"> assistée de</w:t>
      </w:r>
      <w:r w:rsidRPr="0034197A">
        <w:rPr>
          <w:rFonts w:asciiTheme="minorHAnsi" w:hAnsiTheme="minorHAnsi" w:cstheme="minorHAnsi"/>
          <w:b/>
          <w:snapToGrid w:val="0"/>
          <w:sz w:val="22"/>
          <w:szCs w:val="22"/>
          <w:lang w:eastAsia="fr-FR"/>
        </w:rPr>
        <w:t xml:space="preserve"> GHENNE ESTELLE,</w:t>
      </w:r>
      <w:r w:rsidRPr="00653766">
        <w:rPr>
          <w:rFonts w:asciiTheme="minorHAnsi" w:hAnsiTheme="minorHAnsi" w:cstheme="minorHAnsi"/>
          <w:bCs/>
          <w:snapToGrid w:val="0"/>
          <w:sz w:val="22"/>
          <w:szCs w:val="22"/>
          <w:lang w:eastAsia="fr-FR"/>
        </w:rPr>
        <w:t xml:space="preserve"> Greffier,</w:t>
      </w:r>
    </w:p>
    <w:p w14:paraId="7FA2C0BC" w14:textId="77777777" w:rsidR="006A7631" w:rsidRPr="0034197A" w:rsidRDefault="006A7631" w:rsidP="006A7631">
      <w:pPr>
        <w:jc w:val="both"/>
        <w:rPr>
          <w:rFonts w:asciiTheme="minorHAnsi" w:hAnsiTheme="minorHAnsi" w:cstheme="minorHAnsi"/>
          <w:b/>
          <w:snapToGrid w:val="0"/>
          <w:sz w:val="22"/>
          <w:szCs w:val="22"/>
          <w:lang w:eastAsia="fr-FR"/>
        </w:rPr>
      </w:pPr>
    </w:p>
    <w:p w14:paraId="21C8E71B" w14:textId="77777777"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Le Président, les Juges sociaux et le Greffier,</w:t>
      </w:r>
    </w:p>
    <w:p w14:paraId="7553C006" w14:textId="77777777" w:rsidR="0091131E" w:rsidRPr="008A5ACB" w:rsidRDefault="0091131E" w:rsidP="00287624">
      <w:pPr>
        <w:pStyle w:val="Textebrut"/>
        <w:jc w:val="center"/>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B091" w14:textId="77777777" w:rsidR="008206B3" w:rsidRDefault="008206B3">
      <w:r>
        <w:separator/>
      </w:r>
    </w:p>
  </w:endnote>
  <w:endnote w:type="continuationSeparator" w:id="0">
    <w:p w14:paraId="4B268010"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ira Sans">
    <w:altName w:val="Fira Sans"/>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257C" w14:textId="77777777" w:rsidR="008206B3" w:rsidRDefault="008206B3">
      <w:r>
        <w:separator/>
      </w:r>
    </w:p>
  </w:footnote>
  <w:footnote w:type="continuationSeparator" w:id="0">
    <w:p w14:paraId="1FB02F20" w14:textId="77777777" w:rsidR="008206B3" w:rsidRDefault="008206B3">
      <w:r>
        <w:continuationSeparator/>
      </w:r>
    </w:p>
  </w:footnote>
  <w:footnote w:id="1">
    <w:p w14:paraId="04E0A705"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Article 2 du contrat de travail – pièce 1 du dossier du demandeur</w:t>
      </w:r>
    </w:p>
  </w:footnote>
  <w:footnote w:id="2">
    <w:p w14:paraId="397418C0" w14:textId="77777777" w:rsidR="00670028" w:rsidRPr="003064E5" w:rsidRDefault="00670028" w:rsidP="003064E5">
      <w:pPr>
        <w:pStyle w:val="Sansinterligne"/>
        <w:jc w:val="both"/>
        <w:rPr>
          <w:rFonts w:asciiTheme="minorHAnsi" w:hAnsiTheme="minorHAnsi" w:cstheme="minorHAnsi"/>
          <w:sz w:val="18"/>
          <w:szCs w:val="18"/>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Pièce 4 du dossier du défendeur PONCIN</w:t>
      </w:r>
    </w:p>
  </w:footnote>
  <w:footnote w:id="3">
    <w:p w14:paraId="35E63E7D"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 xml:space="preserve">Pièce 3 du dossier du demandeur. </w:t>
      </w:r>
    </w:p>
  </w:footnote>
  <w:footnote w:id="4">
    <w:p w14:paraId="5CF818DA"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Cass., 22 décembre</w:t>
      </w:r>
      <w:r w:rsidRPr="003064E5">
        <w:rPr>
          <w:rFonts w:asciiTheme="minorHAnsi" w:hAnsiTheme="minorHAnsi" w:cstheme="minorHAnsi"/>
          <w:sz w:val="18"/>
          <w:szCs w:val="18"/>
          <w:vertAlign w:val="superscript"/>
          <w:lang w:val="fr-FR"/>
        </w:rPr>
        <w:t>,</w:t>
      </w:r>
      <w:r w:rsidRPr="003064E5">
        <w:rPr>
          <w:rFonts w:asciiTheme="minorHAnsi" w:hAnsiTheme="minorHAnsi" w:cstheme="minorHAnsi"/>
          <w:sz w:val="18"/>
          <w:szCs w:val="18"/>
          <w:lang w:val="fr-FR"/>
        </w:rPr>
        <w:t xml:space="preserve"> 1976,</w:t>
      </w:r>
      <w:r w:rsidRPr="003064E5">
        <w:rPr>
          <w:rFonts w:asciiTheme="minorHAnsi" w:hAnsiTheme="minorHAnsi" w:cstheme="minorHAnsi"/>
          <w:i/>
          <w:sz w:val="18"/>
          <w:szCs w:val="18"/>
          <w:lang w:val="fr-FR"/>
        </w:rPr>
        <w:t xml:space="preserve"> Arr. cass.,</w:t>
      </w:r>
      <w:r w:rsidRPr="003064E5">
        <w:rPr>
          <w:rFonts w:asciiTheme="minorHAnsi" w:hAnsiTheme="minorHAnsi" w:cstheme="minorHAnsi"/>
          <w:sz w:val="18"/>
          <w:szCs w:val="18"/>
          <w:lang w:val="fr-FR"/>
        </w:rPr>
        <w:t xml:space="preserve"> 1977, p. 457.</w:t>
      </w:r>
    </w:p>
  </w:footnote>
  <w:footnote w:id="5">
    <w:p w14:paraId="34DE3C10"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Cass., 15 juin 1998, </w:t>
      </w:r>
      <w:r w:rsidRPr="003064E5">
        <w:rPr>
          <w:rFonts w:asciiTheme="minorHAnsi" w:hAnsiTheme="minorHAnsi" w:cstheme="minorHAnsi"/>
          <w:i/>
          <w:iCs/>
          <w:sz w:val="18"/>
          <w:szCs w:val="18"/>
        </w:rPr>
        <w:t>J.T.T.</w:t>
      </w:r>
      <w:r w:rsidRPr="003064E5">
        <w:rPr>
          <w:rFonts w:asciiTheme="minorHAnsi" w:hAnsiTheme="minorHAnsi" w:cstheme="minorHAnsi"/>
          <w:sz w:val="18"/>
          <w:szCs w:val="18"/>
        </w:rPr>
        <w:t>, 1999, 80, note D. AGUILAR; C. trav. Liège, 2 mai 1996, </w:t>
      </w:r>
      <w:r w:rsidRPr="003064E5">
        <w:rPr>
          <w:rFonts w:asciiTheme="minorHAnsi" w:hAnsiTheme="minorHAnsi" w:cstheme="minorHAnsi"/>
          <w:i/>
          <w:iCs/>
          <w:sz w:val="18"/>
          <w:szCs w:val="18"/>
        </w:rPr>
        <w:t>R.R.D.</w:t>
      </w:r>
      <w:r w:rsidRPr="003064E5">
        <w:rPr>
          <w:rFonts w:asciiTheme="minorHAnsi" w:hAnsiTheme="minorHAnsi" w:cstheme="minorHAnsi"/>
          <w:sz w:val="18"/>
          <w:szCs w:val="18"/>
        </w:rPr>
        <w:t>, 1996, 491</w:t>
      </w:r>
    </w:p>
  </w:footnote>
  <w:footnote w:id="6">
    <w:p w14:paraId="4CB2F59F"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Cass., 15 juin 1998, Pas., 1998, I, p. 312</w:t>
      </w:r>
    </w:p>
  </w:footnote>
  <w:footnote w:id="7">
    <w:p w14:paraId="0885BD5E"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CL. WANTIEZ, Les clauses de non-concurrence et le contrat de travail, éditions E.D.S., Bousval, 1994, p. 34, n° 18</w:t>
      </w:r>
    </w:p>
  </w:footnote>
  <w:footnote w:id="8">
    <w:p w14:paraId="0DBE6225"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Cass., 30 juin 2003, R.A.G.B., 2004, p. 285</w:t>
      </w:r>
    </w:p>
  </w:footnote>
  <w:footnote w:id="9">
    <w:p w14:paraId="5BC7D23F" w14:textId="77777777" w:rsidR="00670028" w:rsidRPr="003064E5" w:rsidRDefault="00670028" w:rsidP="003064E5">
      <w:pPr>
        <w:pStyle w:val="Sansinterligne"/>
        <w:jc w:val="both"/>
        <w:rPr>
          <w:rFonts w:asciiTheme="minorHAnsi" w:hAnsiTheme="minorHAnsi" w:cstheme="minorHAnsi"/>
          <w:sz w:val="18"/>
          <w:szCs w:val="18"/>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 trav. Liège, 2 mai 1996, </w:t>
      </w:r>
      <w:r w:rsidRPr="003064E5">
        <w:rPr>
          <w:rFonts w:asciiTheme="minorHAnsi" w:hAnsiTheme="minorHAnsi" w:cstheme="minorHAnsi"/>
          <w:i/>
          <w:iCs/>
          <w:sz w:val="18"/>
          <w:szCs w:val="18"/>
        </w:rPr>
        <w:t>R.R.D.</w:t>
      </w:r>
      <w:r w:rsidRPr="003064E5">
        <w:rPr>
          <w:rFonts w:asciiTheme="minorHAnsi" w:hAnsiTheme="minorHAnsi" w:cstheme="minorHAnsi"/>
          <w:sz w:val="18"/>
          <w:szCs w:val="18"/>
        </w:rPr>
        <w:t>, 1996, 491</w:t>
      </w:r>
    </w:p>
  </w:footnote>
  <w:footnote w:id="10">
    <w:p w14:paraId="1BD9AC8E"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Pièces 2 et 4 du dossier de la partie demanderesse</w:t>
      </w:r>
    </w:p>
  </w:footnote>
  <w:footnote w:id="11">
    <w:p w14:paraId="08BD8C1F"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M.B. 09/12/2020</w:t>
      </w:r>
    </w:p>
  </w:footnote>
  <w:footnote w:id="12">
    <w:p w14:paraId="6AB52E24"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 xml:space="preserve">Cass., 22 avril 1983, R.C.J.B., 1984, p. 359. </w:t>
      </w:r>
    </w:p>
  </w:footnote>
  <w:footnote w:id="13">
    <w:p w14:paraId="43B813B6" w14:textId="77777777" w:rsidR="00670028" w:rsidRPr="003064E5" w:rsidRDefault="00670028" w:rsidP="003064E5">
      <w:pPr>
        <w:pStyle w:val="Sansinterligne"/>
        <w:jc w:val="both"/>
        <w:rPr>
          <w:rFonts w:asciiTheme="minorHAnsi" w:hAnsiTheme="minorHAnsi" w:cstheme="minorHAnsi"/>
          <w:sz w:val="18"/>
          <w:szCs w:val="18"/>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F. SCHARIPA, </w:t>
      </w:r>
      <w:r w:rsidRPr="003064E5">
        <w:rPr>
          <w:rFonts w:asciiTheme="minorHAnsi" w:hAnsiTheme="minorHAnsi" w:cstheme="minorHAnsi"/>
          <w:i/>
          <w:iCs/>
          <w:sz w:val="18"/>
          <w:szCs w:val="18"/>
        </w:rPr>
        <w:t>Sollicitation et débauchage de personnel et de clientèle</w:t>
      </w:r>
      <w:r w:rsidRPr="003064E5">
        <w:rPr>
          <w:rFonts w:asciiTheme="minorHAnsi" w:hAnsiTheme="minorHAnsi" w:cstheme="minorHAnsi"/>
          <w:sz w:val="18"/>
          <w:szCs w:val="18"/>
        </w:rPr>
        <w:t>, Liège, Kluwer, 2021, p. 68 à 70</w:t>
      </w:r>
    </w:p>
  </w:footnote>
  <w:footnote w:id="14">
    <w:p w14:paraId="07D917E5" w14:textId="77777777" w:rsidR="00670028" w:rsidRPr="00525992" w:rsidRDefault="00670028" w:rsidP="00525992">
      <w:pPr>
        <w:pStyle w:val="Sansinterligne"/>
        <w:jc w:val="both"/>
        <w:rPr>
          <w:rFonts w:asciiTheme="minorHAnsi" w:hAnsiTheme="minorHAnsi" w:cstheme="minorHAnsi"/>
          <w:sz w:val="18"/>
          <w:szCs w:val="18"/>
        </w:rPr>
      </w:pPr>
      <w:r w:rsidRPr="00525992">
        <w:rPr>
          <w:rStyle w:val="Appelnotedebasdep"/>
          <w:rFonts w:asciiTheme="minorHAnsi" w:hAnsiTheme="minorHAnsi" w:cstheme="minorHAnsi"/>
          <w:sz w:val="18"/>
          <w:szCs w:val="18"/>
        </w:rPr>
        <w:footnoteRef/>
      </w:r>
      <w:r w:rsidRPr="00525992">
        <w:rPr>
          <w:rFonts w:asciiTheme="minorHAnsi" w:hAnsiTheme="minorHAnsi" w:cstheme="minorHAnsi"/>
          <w:sz w:val="18"/>
          <w:szCs w:val="18"/>
        </w:rPr>
        <w:t xml:space="preserve"> La mauvaise foi qui nait postérieurement ne nuit pas </w:t>
      </w:r>
    </w:p>
  </w:footnote>
  <w:footnote w:id="15">
    <w:p w14:paraId="2E765973" w14:textId="77777777" w:rsidR="00670028" w:rsidRPr="00525992" w:rsidRDefault="00670028" w:rsidP="00525992">
      <w:pPr>
        <w:pStyle w:val="Sansinterligne"/>
        <w:jc w:val="both"/>
        <w:rPr>
          <w:rFonts w:asciiTheme="minorHAnsi" w:hAnsiTheme="minorHAnsi" w:cstheme="minorHAnsi"/>
          <w:sz w:val="18"/>
          <w:szCs w:val="18"/>
        </w:rPr>
      </w:pPr>
      <w:r w:rsidRPr="00525992">
        <w:rPr>
          <w:rStyle w:val="Appelnotedebasdep"/>
          <w:rFonts w:asciiTheme="minorHAnsi" w:hAnsiTheme="minorHAnsi" w:cstheme="minorHAnsi"/>
          <w:sz w:val="18"/>
          <w:szCs w:val="18"/>
        </w:rPr>
        <w:footnoteRef/>
      </w:r>
      <w:r w:rsidRPr="00525992">
        <w:rPr>
          <w:rFonts w:asciiTheme="minorHAnsi" w:hAnsiTheme="minorHAnsi" w:cstheme="minorHAnsi"/>
          <w:sz w:val="18"/>
          <w:szCs w:val="18"/>
        </w:rPr>
        <w:t xml:space="preserve"> C. trav. Liège, 2 mai 1996, J.M.%.B., 1996, p. 140</w:t>
      </w:r>
    </w:p>
  </w:footnote>
  <w:footnote w:id="16">
    <w:p w14:paraId="5A0537EE" w14:textId="1ADAE955" w:rsidR="00525992" w:rsidRPr="00525992" w:rsidRDefault="00525992" w:rsidP="00525992">
      <w:pPr>
        <w:jc w:val="both"/>
        <w:rPr>
          <w:rFonts w:asciiTheme="minorHAnsi" w:hAnsiTheme="minorHAnsi" w:cstheme="minorHAnsi"/>
          <w:spacing w:val="9"/>
          <w:sz w:val="18"/>
          <w:szCs w:val="18"/>
          <w:lang w:val="fr-FR"/>
        </w:rPr>
      </w:pPr>
      <w:r w:rsidRPr="00525992">
        <w:rPr>
          <w:rStyle w:val="Appelnotedebasdep"/>
          <w:rFonts w:asciiTheme="minorHAnsi" w:hAnsiTheme="minorHAnsi" w:cstheme="minorHAnsi"/>
          <w:sz w:val="18"/>
          <w:szCs w:val="18"/>
        </w:rPr>
        <w:footnoteRef/>
      </w:r>
      <w:r w:rsidRPr="00525992">
        <w:rPr>
          <w:rFonts w:asciiTheme="minorHAnsi" w:hAnsiTheme="minorHAnsi" w:cstheme="minorHAnsi"/>
          <w:sz w:val="18"/>
          <w:szCs w:val="18"/>
        </w:rPr>
        <w:t xml:space="preserve"> </w:t>
      </w:r>
      <w:r w:rsidRPr="00525992">
        <w:rPr>
          <w:rFonts w:asciiTheme="minorHAnsi" w:hAnsiTheme="minorHAnsi" w:cstheme="minorHAnsi"/>
          <w:spacing w:val="9"/>
          <w:sz w:val="18"/>
          <w:szCs w:val="18"/>
          <w:lang w:val="fr-FR"/>
        </w:rPr>
        <w:t>Liège, 13 mai 1991, J.T., 1992, p. 38).</w:t>
      </w:r>
    </w:p>
  </w:footnote>
  <w:footnote w:id="17">
    <w:p w14:paraId="18AADCDC" w14:textId="5227F409" w:rsidR="00525992" w:rsidRPr="00525992" w:rsidRDefault="00525992" w:rsidP="00525992">
      <w:pPr>
        <w:pStyle w:val="Notedebasdepage"/>
        <w:jc w:val="both"/>
        <w:rPr>
          <w:rFonts w:asciiTheme="minorHAnsi" w:hAnsiTheme="minorHAnsi" w:cstheme="minorHAnsi"/>
          <w:sz w:val="18"/>
          <w:szCs w:val="18"/>
        </w:rPr>
      </w:pPr>
      <w:r w:rsidRPr="00525992">
        <w:rPr>
          <w:rStyle w:val="Appelnotedebasdep"/>
          <w:rFonts w:asciiTheme="minorHAnsi" w:hAnsiTheme="minorHAnsi" w:cstheme="minorHAnsi"/>
          <w:sz w:val="18"/>
          <w:szCs w:val="18"/>
        </w:rPr>
        <w:footnoteRef/>
      </w:r>
      <w:r w:rsidRPr="00525992">
        <w:rPr>
          <w:rFonts w:asciiTheme="minorHAnsi" w:hAnsiTheme="minorHAnsi" w:cstheme="minorHAnsi"/>
          <w:sz w:val="18"/>
          <w:szCs w:val="18"/>
        </w:rPr>
        <w:t xml:space="preserve"> </w:t>
      </w:r>
      <w:r w:rsidRPr="00525992">
        <w:rPr>
          <w:rFonts w:asciiTheme="minorHAnsi" w:eastAsia="Tahoma" w:hAnsiTheme="minorHAnsi" w:cstheme="minorHAnsi"/>
          <w:spacing w:val="7"/>
          <w:sz w:val="18"/>
          <w:szCs w:val="18"/>
        </w:rPr>
        <w:t>Liège, 13 mai 1991, J.T., 1992, p. 38, c’est le Tribunal qui souligne</w:t>
      </w:r>
    </w:p>
  </w:footnote>
  <w:footnote w:id="18">
    <w:p w14:paraId="0AB6999D" w14:textId="412BB1F9" w:rsidR="00525992" w:rsidRPr="00525992" w:rsidRDefault="00525992" w:rsidP="00525992">
      <w:pPr>
        <w:pStyle w:val="Notedebasdepage"/>
        <w:jc w:val="both"/>
        <w:rPr>
          <w:rFonts w:asciiTheme="minorHAnsi" w:hAnsiTheme="minorHAnsi" w:cstheme="minorHAnsi"/>
          <w:sz w:val="18"/>
          <w:szCs w:val="18"/>
        </w:rPr>
      </w:pPr>
      <w:r w:rsidRPr="00525992">
        <w:rPr>
          <w:rStyle w:val="Appelnotedebasdep"/>
          <w:rFonts w:asciiTheme="minorHAnsi" w:hAnsiTheme="minorHAnsi" w:cstheme="minorHAnsi"/>
          <w:sz w:val="18"/>
          <w:szCs w:val="18"/>
        </w:rPr>
        <w:footnoteRef/>
      </w:r>
      <w:r w:rsidRPr="00525992">
        <w:rPr>
          <w:rFonts w:asciiTheme="minorHAnsi" w:hAnsiTheme="minorHAnsi" w:cstheme="minorHAnsi"/>
          <w:sz w:val="18"/>
          <w:szCs w:val="18"/>
        </w:rPr>
        <w:t xml:space="preserve"> </w:t>
      </w:r>
      <w:r w:rsidRPr="00525992">
        <w:rPr>
          <w:rFonts w:asciiTheme="minorHAnsi" w:eastAsia="Tahoma" w:hAnsiTheme="minorHAnsi" w:cstheme="minorHAnsi"/>
          <w:color w:val="000000"/>
          <w:spacing w:val="9"/>
          <w:sz w:val="18"/>
          <w:szCs w:val="18"/>
        </w:rPr>
        <w:t xml:space="preserve">P. WÉRY, </w:t>
      </w:r>
      <w:r w:rsidRPr="00525992">
        <w:rPr>
          <w:rFonts w:asciiTheme="minorHAnsi" w:eastAsia="Arial" w:hAnsiTheme="minorHAnsi" w:cstheme="minorHAnsi"/>
          <w:i/>
          <w:color w:val="000000"/>
          <w:spacing w:val="9"/>
          <w:sz w:val="18"/>
          <w:szCs w:val="18"/>
        </w:rPr>
        <w:t>Droit des obligations</w:t>
      </w:r>
      <w:r w:rsidRPr="00525992">
        <w:rPr>
          <w:rFonts w:asciiTheme="minorHAnsi" w:eastAsia="Tahoma" w:hAnsiTheme="minorHAnsi" w:cstheme="minorHAnsi"/>
          <w:color w:val="000000"/>
          <w:spacing w:val="9"/>
          <w:sz w:val="18"/>
          <w:szCs w:val="18"/>
        </w:rPr>
        <w:t>, vol. 1, 2</w:t>
      </w:r>
      <w:r w:rsidRPr="00525992">
        <w:rPr>
          <w:rFonts w:asciiTheme="minorHAnsi" w:eastAsia="Tahoma" w:hAnsiTheme="minorHAnsi" w:cstheme="minorHAnsi"/>
          <w:color w:val="000000"/>
          <w:spacing w:val="9"/>
          <w:sz w:val="18"/>
          <w:szCs w:val="18"/>
          <w:vertAlign w:val="superscript"/>
        </w:rPr>
        <w:t>e</w:t>
      </w:r>
      <w:r w:rsidRPr="00525992">
        <w:rPr>
          <w:rFonts w:asciiTheme="minorHAnsi" w:eastAsia="Tahoma" w:hAnsiTheme="minorHAnsi" w:cstheme="minorHAnsi"/>
          <w:color w:val="000000"/>
          <w:spacing w:val="9"/>
          <w:sz w:val="18"/>
          <w:szCs w:val="18"/>
        </w:rPr>
        <w:t xml:space="preserve"> éd., Larcier, 2021, p. 662.</w:t>
      </w:r>
    </w:p>
  </w:footnote>
  <w:footnote w:id="19">
    <w:p w14:paraId="70B5248D" w14:textId="0158CB52" w:rsidR="00525992" w:rsidRPr="00525992" w:rsidRDefault="00525992" w:rsidP="00525992">
      <w:pPr>
        <w:spacing w:before="26" w:line="295" w:lineRule="exact"/>
        <w:ind w:right="144"/>
        <w:jc w:val="both"/>
        <w:rPr>
          <w:rFonts w:asciiTheme="minorHAnsi" w:hAnsiTheme="minorHAnsi" w:cstheme="minorHAnsi"/>
          <w:spacing w:val="9"/>
          <w:sz w:val="22"/>
          <w:szCs w:val="22"/>
          <w:lang w:val="fr-FR"/>
        </w:rPr>
      </w:pPr>
      <w:r w:rsidRPr="00525992">
        <w:rPr>
          <w:rStyle w:val="Appelnotedebasdep"/>
          <w:rFonts w:asciiTheme="minorHAnsi" w:hAnsiTheme="minorHAnsi" w:cstheme="minorHAnsi"/>
          <w:sz w:val="18"/>
          <w:szCs w:val="18"/>
        </w:rPr>
        <w:footnoteRef/>
      </w:r>
      <w:r w:rsidRPr="00525992">
        <w:rPr>
          <w:rFonts w:asciiTheme="minorHAnsi" w:hAnsiTheme="minorHAnsi" w:cstheme="minorHAnsi"/>
          <w:sz w:val="18"/>
          <w:szCs w:val="18"/>
        </w:rPr>
        <w:t xml:space="preserve"> </w:t>
      </w:r>
      <w:r w:rsidRPr="00525992">
        <w:rPr>
          <w:rFonts w:asciiTheme="minorHAnsi" w:hAnsiTheme="minorHAnsi" w:cstheme="minorHAnsi"/>
          <w:spacing w:val="9"/>
          <w:sz w:val="18"/>
          <w:szCs w:val="18"/>
          <w:lang w:val="fr-FR"/>
        </w:rPr>
        <w:t xml:space="preserve">P. WÉRY, </w:t>
      </w:r>
      <w:r w:rsidRPr="00525992">
        <w:rPr>
          <w:rFonts w:asciiTheme="minorHAnsi" w:eastAsia="Arial" w:hAnsiTheme="minorHAnsi" w:cstheme="minorHAnsi"/>
          <w:i/>
          <w:spacing w:val="9"/>
          <w:sz w:val="18"/>
          <w:szCs w:val="18"/>
          <w:lang w:val="fr-FR"/>
        </w:rPr>
        <w:t>Droit des obligations</w:t>
      </w:r>
      <w:r w:rsidRPr="00525992">
        <w:rPr>
          <w:rFonts w:asciiTheme="minorHAnsi" w:hAnsiTheme="minorHAnsi" w:cstheme="minorHAnsi"/>
          <w:spacing w:val="9"/>
          <w:sz w:val="18"/>
          <w:szCs w:val="18"/>
          <w:lang w:val="fr-FR"/>
        </w:rPr>
        <w:t>, vol. 1, 2</w:t>
      </w:r>
      <w:r w:rsidRPr="00525992">
        <w:rPr>
          <w:rFonts w:asciiTheme="minorHAnsi" w:hAnsiTheme="minorHAnsi" w:cstheme="minorHAnsi"/>
          <w:spacing w:val="9"/>
          <w:sz w:val="18"/>
          <w:szCs w:val="18"/>
          <w:vertAlign w:val="superscript"/>
          <w:lang w:val="fr-FR"/>
        </w:rPr>
        <w:t>e</w:t>
      </w:r>
      <w:r w:rsidRPr="00525992">
        <w:rPr>
          <w:rFonts w:asciiTheme="minorHAnsi" w:hAnsiTheme="minorHAnsi" w:cstheme="minorHAnsi"/>
          <w:spacing w:val="9"/>
          <w:sz w:val="18"/>
          <w:szCs w:val="18"/>
          <w:lang w:val="fr-FR"/>
        </w:rPr>
        <w:t xml:space="preserve"> éd., Larcier, 2021, p. 662.</w:t>
      </w:r>
      <w:r w:rsidRPr="00525992">
        <w:rPr>
          <w:rFonts w:asciiTheme="minorHAnsi" w:hAnsiTheme="minorHAnsi" w:cstheme="minorHAnsi"/>
          <w:spacing w:val="9"/>
          <w:sz w:val="22"/>
          <w:szCs w:val="22"/>
          <w:lang w:val="fr-FR"/>
        </w:rPr>
        <w:t xml:space="preserve"> </w:t>
      </w:r>
    </w:p>
  </w:footnote>
  <w:footnote w:id="20">
    <w:p w14:paraId="0D525F88" w14:textId="77777777" w:rsidR="00670028" w:rsidRPr="003064E5" w:rsidRDefault="00670028" w:rsidP="003064E5">
      <w:pPr>
        <w:pStyle w:val="Sansinterligne"/>
        <w:jc w:val="both"/>
        <w:rPr>
          <w:rFonts w:asciiTheme="minorHAnsi" w:eastAsia="Calibri" w:hAnsiTheme="minorHAnsi" w:cstheme="minorHAnsi"/>
          <w:sz w:val="18"/>
          <w:szCs w:val="18"/>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Voy notamment LEBE-DESSARD, V., "La clause de non-concurrence et la concurrence déloyale", </w:t>
      </w:r>
      <w:r w:rsidRPr="003064E5">
        <w:rPr>
          <w:rFonts w:asciiTheme="minorHAnsi" w:hAnsiTheme="minorHAnsi" w:cstheme="minorHAnsi"/>
          <w:i/>
          <w:iCs/>
          <w:sz w:val="18"/>
          <w:szCs w:val="18"/>
        </w:rPr>
        <w:t>in</w:t>
      </w:r>
      <w:r w:rsidRPr="003064E5">
        <w:rPr>
          <w:rFonts w:asciiTheme="minorHAnsi" w:hAnsiTheme="minorHAnsi" w:cstheme="minorHAnsi"/>
          <w:sz w:val="18"/>
          <w:szCs w:val="18"/>
        </w:rPr>
        <w:t> </w:t>
      </w:r>
      <w:r w:rsidRPr="003064E5">
        <w:rPr>
          <w:rFonts w:asciiTheme="minorHAnsi" w:hAnsiTheme="minorHAnsi" w:cstheme="minorHAnsi"/>
          <w:i/>
          <w:iCs/>
          <w:sz w:val="18"/>
          <w:szCs w:val="18"/>
        </w:rPr>
        <w:t>Clauses spéciales du contrat de travail</w:t>
      </w:r>
      <w:r w:rsidRPr="003064E5">
        <w:rPr>
          <w:rFonts w:asciiTheme="minorHAnsi" w:hAnsiTheme="minorHAnsi" w:cstheme="minorHAnsi"/>
          <w:sz w:val="18"/>
          <w:szCs w:val="18"/>
        </w:rPr>
        <w:t>, V. VANNES (dir.), Bruxelles, Bruylant, 2003, p. 270</w:t>
      </w:r>
    </w:p>
  </w:footnote>
  <w:footnote w:id="21">
    <w:p w14:paraId="2C279436" w14:textId="77777777" w:rsidR="00670028" w:rsidRPr="003064E5" w:rsidRDefault="00670028" w:rsidP="003064E5">
      <w:pPr>
        <w:pStyle w:val="Sansinterligne"/>
        <w:jc w:val="both"/>
        <w:rPr>
          <w:rFonts w:asciiTheme="minorHAnsi" w:hAnsiTheme="minorHAnsi" w:cstheme="minorHAnsi"/>
          <w:sz w:val="18"/>
          <w:szCs w:val="18"/>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J.L. FAGNART, «La tierce complicité et les usages honnêtes en matière commerciale», R.D.C., 1989, p. 469, n° 20</w:t>
      </w:r>
    </w:p>
  </w:footnote>
  <w:footnote w:id="22">
    <w:p w14:paraId="056DB11D"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Cass., 25 octobre 1999, </w:t>
      </w:r>
      <w:r w:rsidRPr="003064E5">
        <w:rPr>
          <w:rFonts w:asciiTheme="minorHAnsi" w:hAnsiTheme="minorHAnsi" w:cstheme="minorHAnsi"/>
          <w:i/>
          <w:iCs/>
          <w:sz w:val="18"/>
          <w:szCs w:val="18"/>
        </w:rPr>
        <w:t>Chron.D.S</w:t>
      </w:r>
      <w:r w:rsidRPr="003064E5">
        <w:rPr>
          <w:rFonts w:asciiTheme="minorHAnsi" w:hAnsiTheme="minorHAnsi" w:cstheme="minorHAnsi"/>
          <w:sz w:val="18"/>
          <w:szCs w:val="18"/>
        </w:rPr>
        <w:t>. , p. 384 ; C. trav. Liège, 17 novembre 1994, </w:t>
      </w:r>
      <w:r w:rsidRPr="003064E5">
        <w:rPr>
          <w:rFonts w:asciiTheme="minorHAnsi" w:hAnsiTheme="minorHAnsi" w:cstheme="minorHAnsi"/>
          <w:i/>
          <w:iCs/>
          <w:sz w:val="18"/>
          <w:szCs w:val="18"/>
        </w:rPr>
        <w:t>J.T.T.</w:t>
      </w:r>
      <w:r w:rsidRPr="003064E5">
        <w:rPr>
          <w:rFonts w:asciiTheme="minorHAnsi" w:hAnsiTheme="minorHAnsi" w:cstheme="minorHAnsi"/>
          <w:sz w:val="18"/>
          <w:szCs w:val="18"/>
        </w:rPr>
        <w:t xml:space="preserve">, 1995, 133. </w:t>
      </w:r>
    </w:p>
  </w:footnote>
  <w:footnote w:id="23">
    <w:p w14:paraId="5C3062AD"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Page 12 de ses conclusions</w:t>
      </w:r>
    </w:p>
  </w:footnote>
  <w:footnote w:id="24">
    <w:p w14:paraId="47466914"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Page 16 de ses conclusions</w:t>
      </w:r>
    </w:p>
  </w:footnote>
  <w:footnote w:id="25">
    <w:p w14:paraId="5831C21F" w14:textId="2524E08D" w:rsidR="00F04E5E" w:rsidRPr="00F04E5E" w:rsidRDefault="00F04E5E" w:rsidP="00F04E5E">
      <w:pPr>
        <w:pStyle w:val="Notedebasdepage"/>
        <w:jc w:val="both"/>
        <w:rPr>
          <w:rFonts w:asciiTheme="minorHAnsi" w:hAnsiTheme="minorHAnsi" w:cstheme="minorHAnsi"/>
          <w:sz w:val="18"/>
          <w:szCs w:val="18"/>
        </w:rPr>
      </w:pPr>
      <w:r w:rsidRPr="00F04E5E">
        <w:rPr>
          <w:rStyle w:val="Appelnotedebasdep"/>
          <w:rFonts w:asciiTheme="minorHAnsi" w:hAnsiTheme="minorHAnsi" w:cstheme="minorHAnsi"/>
          <w:sz w:val="18"/>
          <w:szCs w:val="18"/>
        </w:rPr>
        <w:footnoteRef/>
      </w:r>
      <w:r w:rsidRPr="00F04E5E">
        <w:rPr>
          <w:rFonts w:asciiTheme="minorHAnsi" w:hAnsiTheme="minorHAnsi" w:cstheme="minorHAnsi"/>
          <w:sz w:val="18"/>
          <w:szCs w:val="18"/>
        </w:rPr>
        <w:t xml:space="preserve"> D. GOL et C. DUVIEUSART, « Les clauses de non concurrence en droit commun » in R. Aydogdu (dir.), Les contrats commerciaux en pratiques, 1</w:t>
      </w:r>
      <w:r w:rsidRPr="00F04E5E">
        <w:rPr>
          <w:rFonts w:asciiTheme="minorHAnsi" w:hAnsiTheme="minorHAnsi" w:cstheme="minorHAnsi"/>
          <w:sz w:val="18"/>
          <w:szCs w:val="18"/>
          <w:vertAlign w:val="superscript"/>
        </w:rPr>
        <w:t>er</w:t>
      </w:r>
      <w:r w:rsidRPr="00F04E5E">
        <w:rPr>
          <w:rFonts w:asciiTheme="minorHAnsi" w:hAnsiTheme="minorHAnsi" w:cstheme="minorHAnsi"/>
          <w:sz w:val="18"/>
          <w:szCs w:val="18"/>
        </w:rPr>
        <w:t xml:space="preserve"> édition, Bruxelles, Larcier, 2016, p. 229-261.</w:t>
      </w:r>
    </w:p>
  </w:footnote>
  <w:footnote w:id="26">
    <w:p w14:paraId="5AC35CC0" w14:textId="63CFC748" w:rsidR="00525992" w:rsidRPr="00F04E5E" w:rsidRDefault="00525992" w:rsidP="00F04E5E">
      <w:pPr>
        <w:pStyle w:val="Notedebasdepage"/>
        <w:jc w:val="both"/>
        <w:rPr>
          <w:rFonts w:asciiTheme="minorHAnsi" w:hAnsiTheme="minorHAnsi" w:cstheme="minorHAnsi"/>
          <w:sz w:val="18"/>
          <w:szCs w:val="18"/>
        </w:rPr>
      </w:pPr>
      <w:r w:rsidRPr="00F04E5E">
        <w:rPr>
          <w:rStyle w:val="Appelnotedebasdep"/>
          <w:rFonts w:asciiTheme="minorHAnsi" w:hAnsiTheme="minorHAnsi" w:cstheme="minorHAnsi"/>
          <w:sz w:val="18"/>
          <w:szCs w:val="18"/>
        </w:rPr>
        <w:footnoteRef/>
      </w:r>
      <w:r w:rsidRPr="00F04E5E">
        <w:rPr>
          <w:rFonts w:asciiTheme="minorHAnsi" w:hAnsiTheme="minorHAnsi" w:cstheme="minorHAnsi"/>
          <w:sz w:val="18"/>
          <w:szCs w:val="18"/>
        </w:rPr>
        <w:t xml:space="preserve"> </w:t>
      </w:r>
      <w:r w:rsidRPr="00F04E5E">
        <w:rPr>
          <w:rFonts w:asciiTheme="minorHAnsi" w:eastAsia="Tahoma" w:hAnsiTheme="minorHAnsi" w:cstheme="minorHAnsi"/>
          <w:color w:val="000000"/>
          <w:spacing w:val="9"/>
          <w:sz w:val="18"/>
          <w:szCs w:val="18"/>
        </w:rPr>
        <w:t>Liège, 28 mars 1991, J.L.M.B., 1992, p. 77</w:t>
      </w:r>
    </w:p>
  </w:footnote>
  <w:footnote w:id="27">
    <w:p w14:paraId="14308E7C" w14:textId="7F1F29F1" w:rsidR="00F04E5E" w:rsidRDefault="00F04E5E" w:rsidP="00F04E5E">
      <w:pPr>
        <w:pStyle w:val="Notedebasdepage"/>
        <w:jc w:val="both"/>
      </w:pPr>
      <w:r w:rsidRPr="00F04E5E">
        <w:rPr>
          <w:rStyle w:val="Appelnotedebasdep"/>
          <w:rFonts w:asciiTheme="minorHAnsi" w:hAnsiTheme="minorHAnsi" w:cstheme="minorHAnsi"/>
          <w:sz w:val="18"/>
          <w:szCs w:val="18"/>
        </w:rPr>
        <w:footnoteRef/>
      </w:r>
      <w:r w:rsidRPr="00F04E5E">
        <w:rPr>
          <w:rFonts w:asciiTheme="minorHAnsi" w:hAnsiTheme="minorHAnsi" w:cstheme="minorHAnsi"/>
          <w:sz w:val="18"/>
          <w:szCs w:val="18"/>
        </w:rPr>
        <w:t xml:space="preserve"> </w:t>
      </w:r>
      <w:r w:rsidRPr="00F04E5E">
        <w:rPr>
          <w:rFonts w:asciiTheme="minorHAnsi" w:eastAsia="Tahoma" w:hAnsiTheme="minorHAnsi" w:cstheme="minorHAnsi"/>
          <w:color w:val="000000"/>
          <w:spacing w:val="6"/>
          <w:sz w:val="18"/>
          <w:szCs w:val="18"/>
        </w:rPr>
        <w:t>Cass., 12 octobre 2012, R.W., 2014-2015, p. 574, J.L.M.B., 2013, p. 1684, note M. Verroken et F. Bruyns, Pas., 2012, p. 1897).</w:t>
      </w:r>
    </w:p>
  </w:footnote>
  <w:footnote w:id="28">
    <w:p w14:paraId="733A031F"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 trav. Liège, 2 mai 1996, </w:t>
      </w:r>
      <w:r w:rsidRPr="003064E5">
        <w:rPr>
          <w:rFonts w:asciiTheme="minorHAnsi" w:hAnsiTheme="minorHAnsi" w:cstheme="minorHAnsi"/>
          <w:i/>
          <w:iCs/>
          <w:sz w:val="18"/>
          <w:szCs w:val="18"/>
        </w:rPr>
        <w:t>R.R.D.</w:t>
      </w:r>
      <w:r w:rsidRPr="003064E5">
        <w:rPr>
          <w:rFonts w:asciiTheme="minorHAnsi" w:hAnsiTheme="minorHAnsi" w:cstheme="minorHAnsi"/>
          <w:sz w:val="18"/>
          <w:szCs w:val="18"/>
        </w:rPr>
        <w:t>, 1996, 491; Trib. trav. Gand, 16 décembre 2002, </w:t>
      </w:r>
      <w:r w:rsidRPr="003064E5">
        <w:rPr>
          <w:rFonts w:asciiTheme="minorHAnsi" w:hAnsiTheme="minorHAnsi" w:cstheme="minorHAnsi"/>
          <w:i/>
          <w:iCs/>
          <w:sz w:val="18"/>
          <w:szCs w:val="18"/>
        </w:rPr>
        <w:t>R.A.B.G.</w:t>
      </w:r>
      <w:r w:rsidRPr="003064E5">
        <w:rPr>
          <w:rFonts w:asciiTheme="minorHAnsi" w:hAnsiTheme="minorHAnsi" w:cstheme="minorHAnsi"/>
          <w:sz w:val="18"/>
          <w:szCs w:val="18"/>
        </w:rPr>
        <w:t>, 2004, 307 ; C.trav Bruxelles, 26/10/1988, J.T.T., 1988, p. 441 </w:t>
      </w:r>
    </w:p>
  </w:footnote>
  <w:footnote w:id="29">
    <w:p w14:paraId="1396BAD2"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Voy. A. CAPORALI et Q. SILVESTRE, « Les clauses de non-concurrence en droit du travail et de la sécurité sociale », Larcier, Bruxelles, 2020, p. 125.</w:t>
      </w:r>
    </w:p>
  </w:footnote>
  <w:footnote w:id="30">
    <w:p w14:paraId="161CC4FF" w14:textId="00D6509D" w:rsidR="00F77BF3" w:rsidRPr="00F77BF3" w:rsidRDefault="00F77BF3" w:rsidP="00F77BF3">
      <w:pPr>
        <w:pStyle w:val="Notedebasdepage"/>
        <w:jc w:val="both"/>
        <w:rPr>
          <w:rFonts w:asciiTheme="minorHAnsi" w:hAnsiTheme="minorHAnsi" w:cstheme="minorHAnsi"/>
          <w:sz w:val="18"/>
          <w:szCs w:val="18"/>
        </w:rPr>
      </w:pPr>
      <w:r w:rsidRPr="00F77BF3">
        <w:rPr>
          <w:rStyle w:val="Appelnotedebasdep"/>
          <w:rFonts w:asciiTheme="minorHAnsi" w:hAnsiTheme="minorHAnsi" w:cstheme="minorHAnsi"/>
          <w:sz w:val="18"/>
          <w:szCs w:val="18"/>
        </w:rPr>
        <w:footnoteRef/>
      </w:r>
      <w:r w:rsidRPr="00F77BF3">
        <w:rPr>
          <w:rFonts w:asciiTheme="minorHAnsi" w:hAnsiTheme="minorHAnsi" w:cstheme="minorHAnsi"/>
          <w:sz w:val="18"/>
          <w:szCs w:val="18"/>
        </w:rPr>
        <w:t xml:space="preserve"> Souligné par le Tribunal</w:t>
      </w:r>
    </w:p>
  </w:footnote>
  <w:footnote w:id="31">
    <w:p w14:paraId="3468F3B2" w14:textId="7AF1CF34" w:rsidR="006D25C7" w:rsidRPr="00716701" w:rsidRDefault="006D25C7" w:rsidP="00716701">
      <w:pPr>
        <w:jc w:val="both"/>
        <w:rPr>
          <w:rFonts w:asciiTheme="minorHAnsi" w:hAnsiTheme="minorHAnsi" w:cstheme="minorHAnsi"/>
          <w:sz w:val="18"/>
          <w:szCs w:val="18"/>
        </w:rPr>
      </w:pPr>
      <w:r w:rsidRPr="00716701">
        <w:rPr>
          <w:rStyle w:val="Appelnotedebasdep"/>
          <w:rFonts w:asciiTheme="minorHAnsi" w:hAnsiTheme="minorHAnsi" w:cstheme="minorHAnsi"/>
          <w:sz w:val="18"/>
          <w:szCs w:val="18"/>
        </w:rPr>
        <w:footnoteRef/>
      </w:r>
      <w:r w:rsidRPr="00716701">
        <w:rPr>
          <w:rFonts w:asciiTheme="minorHAnsi" w:hAnsiTheme="minorHAnsi" w:cstheme="minorHAnsi"/>
          <w:sz w:val="18"/>
          <w:szCs w:val="18"/>
        </w:rPr>
        <w:t xml:space="preserve"> Cass., 1er octobre 2009, R.G. n° C.08.0064/N/8,</w:t>
      </w:r>
      <w:hyperlink r:id="rId1" w:history="1">
        <w:r w:rsidRPr="00716701">
          <w:rPr>
            <w:rStyle w:val="Lienhypertexte"/>
            <w:rFonts w:asciiTheme="minorHAnsi" w:eastAsia="Tahoma" w:hAnsiTheme="minorHAnsi" w:cstheme="minorHAnsi"/>
            <w:spacing w:val="1"/>
            <w:sz w:val="18"/>
            <w:szCs w:val="18"/>
            <w:lang w:val="fr-FR"/>
          </w:rPr>
          <w:t xml:space="preserve"> www.juridat.be</w:t>
        </w:r>
      </w:hyperlink>
      <w:r w:rsidRPr="00716701">
        <w:rPr>
          <w:rFonts w:asciiTheme="minorHAnsi" w:hAnsiTheme="minorHAnsi" w:cstheme="minorHAnsi"/>
          <w:color w:val="0000FF"/>
          <w:sz w:val="18"/>
          <w:szCs w:val="18"/>
          <w:u w:val="single"/>
        </w:rPr>
        <w:t xml:space="preserve"> </w:t>
      </w:r>
    </w:p>
  </w:footnote>
  <w:footnote w:id="32">
    <w:p w14:paraId="09C2E2B2" w14:textId="59A706BA" w:rsidR="006D25C7" w:rsidRPr="00716701" w:rsidRDefault="006D25C7" w:rsidP="00716701">
      <w:pPr>
        <w:jc w:val="both"/>
        <w:rPr>
          <w:rFonts w:asciiTheme="minorHAnsi" w:hAnsiTheme="minorHAnsi" w:cstheme="minorHAnsi"/>
          <w:sz w:val="18"/>
          <w:szCs w:val="18"/>
        </w:rPr>
      </w:pPr>
      <w:r w:rsidRPr="00716701">
        <w:rPr>
          <w:rStyle w:val="Appelnotedebasdep"/>
          <w:rFonts w:asciiTheme="minorHAnsi" w:hAnsiTheme="minorHAnsi" w:cstheme="minorHAnsi"/>
          <w:sz w:val="18"/>
          <w:szCs w:val="18"/>
        </w:rPr>
        <w:footnoteRef/>
      </w:r>
      <w:r w:rsidRPr="00716701">
        <w:rPr>
          <w:rFonts w:asciiTheme="minorHAnsi" w:hAnsiTheme="minorHAnsi" w:cstheme="minorHAnsi"/>
          <w:sz w:val="18"/>
          <w:szCs w:val="18"/>
        </w:rPr>
        <w:t xml:space="preserve"> </w:t>
      </w:r>
      <w:r w:rsidRPr="00716701">
        <w:rPr>
          <w:rFonts w:asciiTheme="minorHAnsi" w:hAnsiTheme="minorHAnsi" w:cstheme="minorHAnsi"/>
          <w:spacing w:val="4"/>
          <w:sz w:val="18"/>
          <w:szCs w:val="18"/>
        </w:rPr>
        <w:t>LAMBERT, N., RIJCKAERT, O., Le respect de la vie privée et le RGPD au travail, Kluwer, 2019, p. 115.</w:t>
      </w:r>
    </w:p>
  </w:footnote>
  <w:footnote w:id="33">
    <w:p w14:paraId="605240D0" w14:textId="12837EE0" w:rsidR="006D25C7" w:rsidRPr="00716701" w:rsidRDefault="006D25C7" w:rsidP="00716701">
      <w:pPr>
        <w:jc w:val="both"/>
        <w:rPr>
          <w:rFonts w:asciiTheme="minorHAnsi" w:hAnsiTheme="minorHAnsi" w:cstheme="minorHAnsi"/>
          <w:sz w:val="18"/>
          <w:szCs w:val="18"/>
        </w:rPr>
      </w:pPr>
      <w:r w:rsidRPr="00716701">
        <w:rPr>
          <w:rStyle w:val="Appelnotedebasdep"/>
          <w:rFonts w:asciiTheme="minorHAnsi" w:hAnsiTheme="minorHAnsi" w:cstheme="minorHAnsi"/>
          <w:sz w:val="18"/>
          <w:szCs w:val="18"/>
        </w:rPr>
        <w:footnoteRef/>
      </w:r>
      <w:r w:rsidRPr="00716701">
        <w:rPr>
          <w:rFonts w:asciiTheme="minorHAnsi" w:hAnsiTheme="minorHAnsi" w:cstheme="minorHAnsi"/>
          <w:sz w:val="18"/>
          <w:szCs w:val="18"/>
        </w:rPr>
        <w:t xml:space="preserve"> </w:t>
      </w:r>
      <w:r w:rsidRPr="00716701">
        <w:rPr>
          <w:rFonts w:asciiTheme="minorHAnsi" w:hAnsiTheme="minorHAnsi" w:cstheme="minorHAnsi"/>
          <w:spacing w:val="9"/>
          <w:sz w:val="18"/>
          <w:szCs w:val="18"/>
        </w:rPr>
        <w:t xml:space="preserve">recommandation n° 08/2012 du 2 mai 2012 relative au contrôle de l’employeur quant à l’utilisation </w:t>
      </w:r>
      <w:r w:rsidRPr="00716701">
        <w:rPr>
          <w:rFonts w:asciiTheme="minorHAnsi" w:hAnsiTheme="minorHAnsi" w:cstheme="minorHAnsi"/>
          <w:sz w:val="18"/>
          <w:szCs w:val="18"/>
        </w:rPr>
        <w:t xml:space="preserve">des outils de communication électronique sur le lieu de travail, pp. 18 et s., disponible sur </w:t>
      </w:r>
      <w:hyperlink r:id="rId2" w:history="1">
        <w:r w:rsidRPr="00716701">
          <w:rPr>
            <w:rStyle w:val="Lienhypertexte"/>
            <w:rFonts w:asciiTheme="minorHAnsi" w:eastAsia="Tahoma" w:hAnsiTheme="minorHAnsi" w:cstheme="minorHAnsi"/>
            <w:sz w:val="18"/>
            <w:szCs w:val="18"/>
            <w:lang w:val="fr-FR"/>
          </w:rPr>
          <w:t>https://www.autoriteprotectiondonnees.be/</w:t>
        </w:r>
      </w:hyperlink>
      <w:r w:rsidRPr="00716701">
        <w:rPr>
          <w:rFonts w:asciiTheme="minorHAnsi" w:hAnsiTheme="minorHAnsi" w:cstheme="minorHAnsi"/>
          <w:color w:val="0000FF"/>
          <w:sz w:val="18"/>
          <w:szCs w:val="18"/>
          <w:u w:val="single"/>
        </w:rPr>
        <w:t>)</w:t>
      </w:r>
      <w:r w:rsidRPr="00716701">
        <w:rPr>
          <w:rFonts w:asciiTheme="minorHAnsi" w:hAnsiTheme="minorHAnsi" w:cstheme="minorHAnsi"/>
          <w:color w:val="0462C1"/>
          <w:sz w:val="18"/>
          <w:szCs w:val="18"/>
        </w:rPr>
        <w:t xml:space="preserve">. </w:t>
      </w:r>
    </w:p>
  </w:footnote>
  <w:footnote w:id="34">
    <w:p w14:paraId="74F76409" w14:textId="65279713" w:rsidR="006D25C7" w:rsidRPr="00716701" w:rsidRDefault="006D25C7" w:rsidP="00716701">
      <w:pPr>
        <w:jc w:val="both"/>
        <w:rPr>
          <w:rFonts w:asciiTheme="minorHAnsi" w:hAnsiTheme="minorHAnsi" w:cstheme="minorHAnsi"/>
          <w:sz w:val="18"/>
          <w:szCs w:val="18"/>
        </w:rPr>
      </w:pPr>
      <w:r w:rsidRPr="00716701">
        <w:rPr>
          <w:rStyle w:val="Appelnotedebasdep"/>
          <w:rFonts w:asciiTheme="minorHAnsi" w:hAnsiTheme="minorHAnsi" w:cstheme="minorHAnsi"/>
          <w:sz w:val="18"/>
          <w:szCs w:val="18"/>
        </w:rPr>
        <w:footnoteRef/>
      </w:r>
      <w:r w:rsidRPr="00716701">
        <w:rPr>
          <w:rFonts w:asciiTheme="minorHAnsi" w:hAnsiTheme="minorHAnsi" w:cstheme="minorHAnsi"/>
          <w:sz w:val="18"/>
          <w:szCs w:val="18"/>
        </w:rPr>
        <w:t xml:space="preserve"> </w:t>
      </w:r>
      <w:r w:rsidRPr="00716701">
        <w:rPr>
          <w:rFonts w:asciiTheme="minorHAnsi" w:hAnsiTheme="minorHAnsi" w:cstheme="minorHAnsi"/>
          <w:spacing w:val="7"/>
          <w:sz w:val="18"/>
          <w:szCs w:val="18"/>
        </w:rPr>
        <w:t>Cour. eur. D.H. (Gr. Ch.), arrêt Barbulescu c. Roumanie, 5 septembre 2017)</w:t>
      </w:r>
    </w:p>
  </w:footnote>
  <w:footnote w:id="35">
    <w:p w14:paraId="34503CC6" w14:textId="5A98696C" w:rsidR="006D25C7" w:rsidRDefault="006D25C7" w:rsidP="00716701">
      <w:pPr>
        <w:jc w:val="both"/>
      </w:pPr>
      <w:r w:rsidRPr="00716701">
        <w:rPr>
          <w:rStyle w:val="Appelnotedebasdep"/>
          <w:rFonts w:asciiTheme="minorHAnsi" w:hAnsiTheme="minorHAnsi" w:cstheme="minorHAnsi"/>
          <w:sz w:val="18"/>
          <w:szCs w:val="18"/>
        </w:rPr>
        <w:footnoteRef/>
      </w:r>
      <w:r w:rsidRPr="00716701">
        <w:rPr>
          <w:rFonts w:asciiTheme="minorHAnsi" w:hAnsiTheme="minorHAnsi" w:cstheme="minorHAnsi"/>
          <w:sz w:val="18"/>
          <w:szCs w:val="18"/>
        </w:rPr>
        <w:t xml:space="preserve"> </w:t>
      </w:r>
      <w:r w:rsidRPr="00716701">
        <w:rPr>
          <w:rFonts w:asciiTheme="minorHAnsi" w:hAnsiTheme="minorHAnsi" w:cstheme="minorHAnsi"/>
          <w:spacing w:val="7"/>
          <w:sz w:val="18"/>
          <w:szCs w:val="18"/>
        </w:rPr>
        <w:t xml:space="preserve"> (LAMBERT, N., RIJCKAERT, O., Le respect de la vie privée et le RGPD au travail, Kluwer, 2019, p. 139).</w:t>
      </w:r>
    </w:p>
  </w:footnote>
  <w:footnote w:id="36">
    <w:p w14:paraId="47C4FCC6" w14:textId="6E667445" w:rsidR="00716701" w:rsidRPr="00651020" w:rsidRDefault="00716701" w:rsidP="00651020">
      <w:pPr>
        <w:pStyle w:val="Notedebasdepage"/>
        <w:jc w:val="both"/>
        <w:rPr>
          <w:rFonts w:asciiTheme="minorHAnsi" w:hAnsiTheme="minorHAnsi" w:cstheme="minorHAnsi"/>
          <w:sz w:val="18"/>
          <w:szCs w:val="18"/>
        </w:rPr>
      </w:pPr>
      <w:r w:rsidRPr="00651020">
        <w:rPr>
          <w:rStyle w:val="Appelnotedebasdep"/>
          <w:rFonts w:asciiTheme="minorHAnsi" w:hAnsiTheme="minorHAnsi" w:cstheme="minorHAnsi"/>
          <w:sz w:val="18"/>
          <w:szCs w:val="18"/>
        </w:rPr>
        <w:footnoteRef/>
      </w:r>
      <w:r w:rsidR="00651020" w:rsidRPr="00651020">
        <w:rPr>
          <w:rFonts w:asciiTheme="minorHAnsi" w:eastAsia="Tahoma" w:hAnsiTheme="minorHAnsi" w:cstheme="minorHAnsi"/>
          <w:color w:val="000000"/>
          <w:spacing w:val="4"/>
          <w:sz w:val="18"/>
          <w:szCs w:val="18"/>
        </w:rPr>
        <w:t>décision n° 64/2020 du 29 septembre 2020</w:t>
      </w:r>
    </w:p>
  </w:footnote>
  <w:footnote w:id="37">
    <w:p w14:paraId="1889B5D3" w14:textId="77777777" w:rsidR="00670028" w:rsidRPr="003064E5" w:rsidRDefault="00670028" w:rsidP="003064E5">
      <w:pPr>
        <w:pStyle w:val="Sansinterligne"/>
        <w:jc w:val="both"/>
        <w:rPr>
          <w:rFonts w:asciiTheme="minorHAnsi" w:hAnsiTheme="minorHAnsi" w:cstheme="minorHAnsi"/>
          <w:sz w:val="18"/>
          <w:szCs w:val="18"/>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Cass., 14 octobre 2003R.C.J.B., 2004, p. 405.</w:t>
      </w:r>
    </w:p>
  </w:footnote>
  <w:footnote w:id="38">
    <w:p w14:paraId="76112795" w14:textId="77777777" w:rsidR="00670028" w:rsidRPr="003064E5" w:rsidRDefault="00670028" w:rsidP="003064E5">
      <w:pPr>
        <w:pStyle w:val="Sansinterligne"/>
        <w:jc w:val="both"/>
        <w:rPr>
          <w:rFonts w:asciiTheme="minorHAnsi" w:hAnsiTheme="minorHAnsi" w:cstheme="minorHAnsi"/>
          <w:sz w:val="18"/>
          <w:szCs w:val="18"/>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Cass., 2 mars 2005, J.T. 2005, p. 211</w:t>
      </w:r>
    </w:p>
  </w:footnote>
  <w:footnote w:id="39">
    <w:p w14:paraId="0B28675C"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Cass., 14 juin 2021, J.T. 2021, p. 551</w:t>
      </w:r>
    </w:p>
  </w:footnote>
  <w:footnote w:id="40">
    <w:p w14:paraId="2811DB03"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Pièce 17 de son dossier</w:t>
      </w:r>
    </w:p>
  </w:footnote>
  <w:footnote w:id="41">
    <w:p w14:paraId="500BCA78"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Pièce 14 de son dossier</w:t>
      </w:r>
    </w:p>
  </w:footnote>
  <w:footnote w:id="42">
    <w:p w14:paraId="6F634943"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Pièce 15 de son dossier – ce dossier ne contient pas de pièce 15bis (page 10 des conclusions de PROMAS)</w:t>
      </w:r>
    </w:p>
  </w:footnote>
  <w:footnote w:id="43">
    <w:p w14:paraId="4EFE9037"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Pièce 4 du dossier de MLD CONCEPT</w:t>
      </w:r>
    </w:p>
  </w:footnote>
  <w:footnote w:id="44">
    <w:p w14:paraId="16EF7802" w14:textId="3E050D4E"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rPr>
        <w:t xml:space="preserve"> </w:t>
      </w:r>
      <w:r w:rsidRPr="003064E5">
        <w:rPr>
          <w:rFonts w:asciiTheme="minorHAnsi" w:hAnsiTheme="minorHAnsi" w:cstheme="minorHAnsi"/>
          <w:sz w:val="18"/>
          <w:szCs w:val="18"/>
          <w:lang w:val="fr-FR"/>
        </w:rPr>
        <w:t xml:space="preserve">Pièce 17 de son dossier – confirmation de commande de la CSC adressée sur l’ancienne adresse email de </w:t>
      </w:r>
      <w:r w:rsidR="00653766" w:rsidRPr="003064E5">
        <w:rPr>
          <w:rFonts w:asciiTheme="minorHAnsi" w:hAnsiTheme="minorHAnsi" w:cstheme="minorHAnsi"/>
          <w:sz w:val="18"/>
          <w:szCs w:val="18"/>
          <w:lang w:val="fr-FR"/>
        </w:rPr>
        <w:t>M</w:t>
      </w:r>
      <w:r w:rsidRPr="003064E5">
        <w:rPr>
          <w:rFonts w:asciiTheme="minorHAnsi" w:hAnsiTheme="minorHAnsi" w:cstheme="minorHAnsi"/>
          <w:sz w:val="18"/>
          <w:szCs w:val="18"/>
          <w:lang w:val="fr-FR"/>
        </w:rPr>
        <w:t>onsieur PONCIN</w:t>
      </w:r>
    </w:p>
  </w:footnote>
  <w:footnote w:id="45">
    <w:p w14:paraId="7BDB9906" w14:textId="77777777" w:rsidR="00670028" w:rsidRPr="003064E5" w:rsidRDefault="00670028" w:rsidP="003064E5">
      <w:pPr>
        <w:pStyle w:val="Notedebasdepage"/>
        <w:jc w:val="both"/>
        <w:rPr>
          <w:rFonts w:asciiTheme="minorHAnsi" w:hAnsiTheme="minorHAnsi" w:cstheme="minorHAnsi"/>
          <w:sz w:val="18"/>
          <w:szCs w:val="18"/>
        </w:rPr>
      </w:pPr>
      <w:r w:rsidRPr="003064E5">
        <w:rPr>
          <w:rStyle w:val="Appelnotedebasdep"/>
          <w:rFonts w:asciiTheme="minorHAnsi" w:eastAsia="Lucida Sans Unicode" w:hAnsiTheme="minorHAnsi" w:cstheme="minorHAnsi"/>
          <w:sz w:val="18"/>
          <w:szCs w:val="18"/>
        </w:rPr>
        <w:footnoteRef/>
      </w:r>
      <w:r w:rsidRPr="003064E5">
        <w:rPr>
          <w:rFonts w:asciiTheme="minorHAnsi" w:hAnsiTheme="minorHAnsi" w:cstheme="minorHAnsi"/>
          <w:sz w:val="18"/>
          <w:szCs w:val="18"/>
        </w:rPr>
        <w:t xml:space="preserve"> Cass., 10 septembre 2020, RG 19.0357.F</w:t>
      </w:r>
    </w:p>
  </w:footnote>
  <w:footnote w:id="46">
    <w:p w14:paraId="328A7324" w14:textId="77777777" w:rsidR="00670028" w:rsidRPr="003064E5" w:rsidRDefault="00670028" w:rsidP="003064E5">
      <w:pPr>
        <w:pStyle w:val="Sansinterligne"/>
        <w:jc w:val="both"/>
        <w:rPr>
          <w:rFonts w:asciiTheme="minorHAnsi" w:hAnsiTheme="minorHAnsi" w:cstheme="minorHAnsi"/>
          <w:sz w:val="18"/>
          <w:szCs w:val="18"/>
          <w:lang w:val="fr-FR"/>
        </w:rPr>
      </w:pPr>
      <w:r w:rsidRPr="003064E5">
        <w:rPr>
          <w:rStyle w:val="Appelnotedebasdep"/>
          <w:rFonts w:asciiTheme="minorHAnsi" w:hAnsiTheme="minorHAnsi" w:cstheme="minorHAnsi"/>
          <w:sz w:val="18"/>
          <w:szCs w:val="18"/>
        </w:rPr>
        <w:footnoteRef/>
      </w:r>
      <w:r w:rsidRPr="003064E5">
        <w:rPr>
          <w:rFonts w:asciiTheme="minorHAnsi" w:hAnsiTheme="minorHAnsi" w:cstheme="minorHAnsi"/>
          <w:sz w:val="18"/>
          <w:szCs w:val="18"/>
          <w:lang w:val="fr-FR"/>
        </w:rPr>
        <w:t xml:space="preserve"> C.trav. LIEGE, 05 septembre 1994, </w:t>
      </w:r>
      <w:r w:rsidRPr="003064E5">
        <w:rPr>
          <w:rFonts w:asciiTheme="minorHAnsi" w:hAnsiTheme="minorHAnsi" w:cstheme="minorHAnsi"/>
          <w:i/>
          <w:iCs/>
          <w:sz w:val="18"/>
          <w:szCs w:val="18"/>
          <w:lang w:val="fr-FR"/>
        </w:rPr>
        <w:t>J.T.T</w:t>
      </w:r>
      <w:r w:rsidRPr="003064E5">
        <w:rPr>
          <w:rFonts w:asciiTheme="minorHAnsi" w:hAnsiTheme="minorHAnsi" w:cstheme="minorHAnsi"/>
          <w:sz w:val="18"/>
          <w:szCs w:val="18"/>
          <w:lang w:val="fr-FR"/>
        </w:rPr>
        <w:t>., 1995, p. 137</w:t>
      </w:r>
    </w:p>
  </w:footnote>
  <w:footnote w:id="47">
    <w:p w14:paraId="65A46206" w14:textId="77777777" w:rsidR="005A06EF" w:rsidRPr="005A06EF" w:rsidRDefault="005A06EF" w:rsidP="005A06EF">
      <w:pPr>
        <w:spacing w:before="159" w:line="294" w:lineRule="exact"/>
        <w:ind w:right="144"/>
        <w:jc w:val="both"/>
        <w:rPr>
          <w:rFonts w:asciiTheme="minorHAnsi" w:eastAsia="Tahoma" w:hAnsiTheme="minorHAnsi" w:cstheme="minorHAnsi"/>
          <w:color w:val="000000"/>
          <w:spacing w:val="8"/>
          <w:sz w:val="18"/>
          <w:szCs w:val="18"/>
          <w:lang w:val="fr-FR"/>
        </w:rPr>
      </w:pPr>
      <w:r w:rsidRPr="005A06EF">
        <w:rPr>
          <w:rStyle w:val="Appelnotedebasdep"/>
          <w:rFonts w:asciiTheme="minorHAnsi" w:hAnsiTheme="minorHAnsi" w:cstheme="minorHAnsi"/>
          <w:sz w:val="18"/>
          <w:szCs w:val="18"/>
        </w:rPr>
        <w:footnoteRef/>
      </w:r>
      <w:r w:rsidRPr="005A06EF">
        <w:rPr>
          <w:rFonts w:asciiTheme="minorHAnsi" w:hAnsiTheme="minorHAnsi" w:cstheme="minorHAnsi"/>
          <w:sz w:val="18"/>
          <w:szCs w:val="18"/>
        </w:rPr>
        <w:t xml:space="preserve"> </w:t>
      </w:r>
      <w:r w:rsidRPr="005A06EF">
        <w:rPr>
          <w:rFonts w:asciiTheme="minorHAnsi" w:eastAsia="Tahoma" w:hAnsiTheme="minorHAnsi" w:cstheme="minorHAnsi"/>
          <w:color w:val="000000"/>
          <w:spacing w:val="8"/>
          <w:sz w:val="18"/>
          <w:szCs w:val="18"/>
          <w:lang w:val="fr-FR"/>
        </w:rPr>
        <w:t xml:space="preserve">(C. trav. Liège, 16 janvier 2006, R.G. 30.903/02, </w:t>
      </w:r>
      <w:hyperlink r:id="rId3">
        <w:r w:rsidRPr="005A06EF">
          <w:rPr>
            <w:rFonts w:asciiTheme="minorHAnsi" w:eastAsia="Tahoma" w:hAnsiTheme="minorHAnsi" w:cstheme="minorHAnsi"/>
            <w:color w:val="0000FF"/>
            <w:spacing w:val="8"/>
            <w:sz w:val="18"/>
            <w:szCs w:val="18"/>
            <w:u w:val="single"/>
            <w:lang w:val="fr-FR"/>
          </w:rPr>
          <w:t>www.terralaboris.be</w:t>
        </w:r>
      </w:hyperlink>
      <w:r w:rsidRPr="005A06EF">
        <w:rPr>
          <w:rFonts w:asciiTheme="minorHAnsi" w:eastAsia="Tahoma" w:hAnsiTheme="minorHAnsi" w:cstheme="minorHAnsi"/>
          <w:color w:val="0000FF"/>
          <w:spacing w:val="8"/>
          <w:sz w:val="18"/>
          <w:szCs w:val="18"/>
          <w:u w:val="single"/>
          <w:lang w:val="fr-FR"/>
        </w:rPr>
        <w:t>)</w:t>
      </w:r>
      <w:r w:rsidRPr="005A06EF">
        <w:rPr>
          <w:rFonts w:asciiTheme="minorHAnsi" w:eastAsia="Tahoma" w:hAnsiTheme="minorHAnsi" w:cstheme="minorHAnsi"/>
          <w:color w:val="0462C1"/>
          <w:spacing w:val="8"/>
          <w:sz w:val="18"/>
          <w:szCs w:val="18"/>
          <w:lang w:val="fr-FR"/>
        </w:rPr>
        <w:t xml:space="preserve">. </w:t>
      </w:r>
    </w:p>
    <w:p w14:paraId="7DE31B03" w14:textId="6E51645B" w:rsidR="005A06EF" w:rsidRDefault="005A06E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15B57CE7" w14:textId="77777777">
      <w:tc>
        <w:tcPr>
          <w:tcW w:w="3200" w:type="dxa"/>
          <w:tcMar>
            <w:top w:w="55" w:type="dxa"/>
            <w:left w:w="55" w:type="dxa"/>
            <w:bottom w:w="55" w:type="dxa"/>
            <w:right w:w="55" w:type="dxa"/>
          </w:tcMar>
        </w:tcPr>
        <w:p w14:paraId="2017C31A"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56/ A</w:t>
          </w:r>
        </w:p>
      </w:tc>
      <w:tc>
        <w:tcPr>
          <w:tcW w:w="3200" w:type="dxa"/>
          <w:tcMar>
            <w:top w:w="55" w:type="dxa"/>
            <w:left w:w="55" w:type="dxa"/>
            <w:bottom w:w="55" w:type="dxa"/>
            <w:right w:w="55" w:type="dxa"/>
          </w:tcMar>
        </w:tcPr>
        <w:p w14:paraId="4AA4808E" w14:textId="77777777" w:rsidR="008206B3" w:rsidRPr="00852979" w:rsidRDefault="008B0CD0">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23E4A5B3"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B0CD0">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8B0CD0">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6E855839" w14:textId="77777777" w:rsidR="008206B3" w:rsidRDefault="008206B3">
    <w:pPr>
      <w:pStyle w:val="En-tte"/>
      <w:pBdr>
        <w:bottom w:val="single" w:sz="6" w:space="1" w:color="auto"/>
      </w:pBdr>
    </w:pPr>
  </w:p>
  <w:p w14:paraId="0C96664A"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2FF66914" w14:textId="77777777" w:rsidTr="003258DF">
      <w:tc>
        <w:tcPr>
          <w:tcW w:w="3200" w:type="dxa"/>
          <w:tcMar>
            <w:top w:w="55" w:type="dxa"/>
            <w:left w:w="55" w:type="dxa"/>
            <w:bottom w:w="55" w:type="dxa"/>
            <w:right w:w="55" w:type="dxa"/>
          </w:tcMar>
        </w:tcPr>
        <w:p w14:paraId="026F3875"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56/ A</w:t>
          </w:r>
        </w:p>
      </w:tc>
      <w:tc>
        <w:tcPr>
          <w:tcW w:w="3200" w:type="dxa"/>
          <w:tcMar>
            <w:top w:w="55" w:type="dxa"/>
            <w:left w:w="55" w:type="dxa"/>
            <w:bottom w:w="55" w:type="dxa"/>
            <w:right w:w="55" w:type="dxa"/>
          </w:tcMar>
        </w:tcPr>
        <w:p w14:paraId="7FD58E95" w14:textId="77777777" w:rsidR="004A669F" w:rsidRPr="005644A1" w:rsidRDefault="004A669F" w:rsidP="004A669F">
          <w:pPr>
            <w:pStyle w:val="TableContents"/>
            <w:jc w:val="center"/>
            <w:rPr>
              <w:rFonts w:ascii="Calibri" w:hAnsi="Calibri" w:cs="Calibri"/>
              <w:b/>
              <w:bCs/>
              <w:sz w:val="22"/>
              <w:szCs w:val="22"/>
            </w:rPr>
          </w:pPr>
          <w:r w:rsidRPr="005644A1">
            <w:rPr>
              <w:rFonts w:ascii="Calibri" w:hAnsi="Calibri" w:cs="Calibri"/>
              <w:b/>
              <w:bCs/>
              <w:sz w:val="22"/>
              <w:szCs w:val="22"/>
            </w:rPr>
            <w:t>Rép : 21/</w:t>
          </w:r>
        </w:p>
      </w:tc>
      <w:tc>
        <w:tcPr>
          <w:tcW w:w="3200" w:type="dxa"/>
          <w:tcMar>
            <w:top w:w="55" w:type="dxa"/>
            <w:left w:w="55" w:type="dxa"/>
            <w:bottom w:w="55" w:type="dxa"/>
            <w:right w:w="55" w:type="dxa"/>
          </w:tcMar>
        </w:tcPr>
        <w:p w14:paraId="3ECBEAAB"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1B29FEA2"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270A5A"/>
    <w:multiLevelType w:val="hybridMultilevel"/>
    <w:tmpl w:val="6248C9AE"/>
    <w:lvl w:ilvl="0" w:tplc="7EF03966">
      <w:start w:val="5"/>
      <w:numFmt w:val="bullet"/>
      <w:lvlText w:val="-"/>
      <w:lvlJc w:val="left"/>
      <w:pPr>
        <w:ind w:left="720" w:hanging="360"/>
      </w:pPr>
      <w:rPr>
        <w:rFonts w:ascii="Calibri" w:eastAsia="Times New Roman"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3E1226"/>
    <w:multiLevelType w:val="hybridMultilevel"/>
    <w:tmpl w:val="D87A3EEA"/>
    <w:lvl w:ilvl="0" w:tplc="DE56337E">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423026"/>
    <w:multiLevelType w:val="hybridMultilevel"/>
    <w:tmpl w:val="1B14380E"/>
    <w:lvl w:ilvl="0" w:tplc="D60E71C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32C4D3B"/>
    <w:multiLevelType w:val="hybridMultilevel"/>
    <w:tmpl w:val="1F069A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40C7"/>
    <w:multiLevelType w:val="hybridMultilevel"/>
    <w:tmpl w:val="E9BED34C"/>
    <w:lvl w:ilvl="0" w:tplc="FC8E85E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64183926"/>
    <w:multiLevelType w:val="hybridMultilevel"/>
    <w:tmpl w:val="2C645F98"/>
    <w:lvl w:ilvl="0" w:tplc="080C0019">
      <w:start w:val="1"/>
      <w:numFmt w:val="lowerLetter"/>
      <w:lvlText w:val="%1."/>
      <w:lvlJc w:val="left"/>
      <w:pPr>
        <w:ind w:left="144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657D4734"/>
    <w:multiLevelType w:val="multilevel"/>
    <w:tmpl w:val="5282C67A"/>
    <w:lvl w:ilvl="0">
      <w:start w:val="1"/>
      <w:numFmt w:val="lowerLetter"/>
      <w:lvlText w:val="%1)"/>
      <w:lvlJc w:val="left"/>
      <w:pPr>
        <w:tabs>
          <w:tab w:val="left" w:pos="288"/>
        </w:tabs>
      </w:pPr>
      <w:rPr>
        <w:rFonts w:asciiTheme="minorHAnsi" w:eastAsia="Arial" w:hAnsiTheme="minorHAnsi" w:cstheme="minorHAnsi" w:hint="default"/>
        <w:i/>
        <w:color w:val="000000"/>
        <w:spacing w:val="0"/>
        <w:w w:val="100"/>
        <w:sz w:val="22"/>
        <w:szCs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5D2FB5"/>
    <w:multiLevelType w:val="hybridMultilevel"/>
    <w:tmpl w:val="5CDE1614"/>
    <w:lvl w:ilvl="0" w:tplc="3BF492F4">
      <w:start w:val="1"/>
      <w:numFmt w:val="decimal"/>
      <w:lvlText w:val="%1-"/>
      <w:lvlJc w:val="left"/>
      <w:pPr>
        <w:ind w:left="1352" w:hanging="360"/>
      </w:pPr>
      <w:rPr>
        <w:rFonts w:ascii="Calibri" w:hAnsi="Calibri" w:cs="Calibri" w:hint="default"/>
        <w:sz w:val="22"/>
        <w:szCs w:val="22"/>
      </w:rPr>
    </w:lvl>
    <w:lvl w:ilvl="1" w:tplc="040C0019">
      <w:start w:val="1"/>
      <w:numFmt w:val="lowerLetter"/>
      <w:lvlText w:val="%2."/>
      <w:lvlJc w:val="left"/>
      <w:pPr>
        <w:ind w:left="2072" w:hanging="360"/>
      </w:pPr>
    </w:lvl>
    <w:lvl w:ilvl="2" w:tplc="040C001B">
      <w:start w:val="1"/>
      <w:numFmt w:val="lowerRoman"/>
      <w:lvlText w:val="%3."/>
      <w:lvlJc w:val="right"/>
      <w:pPr>
        <w:ind w:left="2792" w:hanging="180"/>
      </w:pPr>
    </w:lvl>
    <w:lvl w:ilvl="3" w:tplc="040C000F">
      <w:start w:val="1"/>
      <w:numFmt w:val="decimal"/>
      <w:lvlText w:val="%4."/>
      <w:lvlJc w:val="left"/>
      <w:pPr>
        <w:ind w:left="3512" w:hanging="360"/>
      </w:pPr>
    </w:lvl>
    <w:lvl w:ilvl="4" w:tplc="040C0019">
      <w:start w:val="1"/>
      <w:numFmt w:val="lowerLetter"/>
      <w:lvlText w:val="%5."/>
      <w:lvlJc w:val="left"/>
      <w:pPr>
        <w:ind w:left="4232" w:hanging="360"/>
      </w:pPr>
    </w:lvl>
    <w:lvl w:ilvl="5" w:tplc="040C001B">
      <w:start w:val="1"/>
      <w:numFmt w:val="lowerRoman"/>
      <w:lvlText w:val="%6."/>
      <w:lvlJc w:val="right"/>
      <w:pPr>
        <w:ind w:left="4952" w:hanging="180"/>
      </w:pPr>
    </w:lvl>
    <w:lvl w:ilvl="6" w:tplc="040C000F">
      <w:start w:val="1"/>
      <w:numFmt w:val="decimal"/>
      <w:lvlText w:val="%7."/>
      <w:lvlJc w:val="left"/>
      <w:pPr>
        <w:ind w:left="5672" w:hanging="360"/>
      </w:pPr>
    </w:lvl>
    <w:lvl w:ilvl="7" w:tplc="040C0019">
      <w:start w:val="1"/>
      <w:numFmt w:val="lowerLetter"/>
      <w:lvlText w:val="%8."/>
      <w:lvlJc w:val="left"/>
      <w:pPr>
        <w:ind w:left="6392" w:hanging="360"/>
      </w:pPr>
    </w:lvl>
    <w:lvl w:ilvl="8" w:tplc="040C001B">
      <w:start w:val="1"/>
      <w:numFmt w:val="lowerRoman"/>
      <w:lvlText w:val="%9."/>
      <w:lvlJc w:val="right"/>
      <w:pPr>
        <w:ind w:left="7112" w:hanging="180"/>
      </w:pPr>
    </w:lvl>
  </w:abstractNum>
  <w:abstractNum w:abstractNumId="12"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47716">
    <w:abstractNumId w:val="6"/>
  </w:num>
  <w:num w:numId="2" w16cid:durableId="1964995687">
    <w:abstractNumId w:val="7"/>
  </w:num>
  <w:num w:numId="3" w16cid:durableId="152645229">
    <w:abstractNumId w:val="3"/>
  </w:num>
  <w:num w:numId="4" w16cid:durableId="230116397">
    <w:abstractNumId w:val="0"/>
  </w:num>
  <w:num w:numId="5" w16cid:durableId="1374043171">
    <w:abstractNumId w:val="12"/>
  </w:num>
  <w:num w:numId="6" w16cid:durableId="1594437744">
    <w:abstractNumId w:val="13"/>
  </w:num>
  <w:num w:numId="7" w16cid:durableId="91973126">
    <w:abstractNumId w:val="13"/>
  </w:num>
  <w:num w:numId="8" w16cid:durableId="29695450">
    <w:abstractNumId w:val="8"/>
  </w:num>
  <w:num w:numId="9" w16cid:durableId="1899046783">
    <w:abstractNumId w:val="1"/>
  </w:num>
  <w:num w:numId="10" w16cid:durableId="650525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71053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63544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20228">
    <w:abstractNumId w:val="5"/>
  </w:num>
  <w:num w:numId="14" w16cid:durableId="2083024137">
    <w:abstractNumId w:val="4"/>
  </w:num>
  <w:num w:numId="15" w16cid:durableId="1790318168">
    <w:abstractNumId w:val="8"/>
  </w:num>
  <w:num w:numId="16" w16cid:durableId="5999912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4C5B"/>
    <w:rsid w:val="0002589B"/>
    <w:rsid w:val="00040495"/>
    <w:rsid w:val="00052E26"/>
    <w:rsid w:val="000606F4"/>
    <w:rsid w:val="00065F07"/>
    <w:rsid w:val="00072F3B"/>
    <w:rsid w:val="000B20C1"/>
    <w:rsid w:val="000B40C2"/>
    <w:rsid w:val="000B66EF"/>
    <w:rsid w:val="000F695F"/>
    <w:rsid w:val="000F785A"/>
    <w:rsid w:val="0014234F"/>
    <w:rsid w:val="00151713"/>
    <w:rsid w:val="00177C81"/>
    <w:rsid w:val="00193F9B"/>
    <w:rsid w:val="00194937"/>
    <w:rsid w:val="001D4B8C"/>
    <w:rsid w:val="001E50BF"/>
    <w:rsid w:val="00213290"/>
    <w:rsid w:val="002251A0"/>
    <w:rsid w:val="00251627"/>
    <w:rsid w:val="002522AF"/>
    <w:rsid w:val="00287624"/>
    <w:rsid w:val="002A3F32"/>
    <w:rsid w:val="002A4ACD"/>
    <w:rsid w:val="002D2304"/>
    <w:rsid w:val="002D50E6"/>
    <w:rsid w:val="002E13EE"/>
    <w:rsid w:val="002E4F56"/>
    <w:rsid w:val="002E7213"/>
    <w:rsid w:val="003022D7"/>
    <w:rsid w:val="003064E5"/>
    <w:rsid w:val="00352285"/>
    <w:rsid w:val="003641D7"/>
    <w:rsid w:val="00385370"/>
    <w:rsid w:val="00386FFB"/>
    <w:rsid w:val="003B3F57"/>
    <w:rsid w:val="003B4C1C"/>
    <w:rsid w:val="003C2768"/>
    <w:rsid w:val="003E7C9B"/>
    <w:rsid w:val="00422046"/>
    <w:rsid w:val="004420CB"/>
    <w:rsid w:val="00444DAA"/>
    <w:rsid w:val="00465C44"/>
    <w:rsid w:val="00472F84"/>
    <w:rsid w:val="004950D5"/>
    <w:rsid w:val="004A669F"/>
    <w:rsid w:val="004B3AA4"/>
    <w:rsid w:val="004F36C3"/>
    <w:rsid w:val="004F4498"/>
    <w:rsid w:val="00502FA7"/>
    <w:rsid w:val="00517943"/>
    <w:rsid w:val="0052005D"/>
    <w:rsid w:val="00525992"/>
    <w:rsid w:val="005278AF"/>
    <w:rsid w:val="0053258D"/>
    <w:rsid w:val="00536C1E"/>
    <w:rsid w:val="005434F3"/>
    <w:rsid w:val="00550F11"/>
    <w:rsid w:val="0057200B"/>
    <w:rsid w:val="00572767"/>
    <w:rsid w:val="00572D00"/>
    <w:rsid w:val="00575C16"/>
    <w:rsid w:val="00585309"/>
    <w:rsid w:val="005A06EF"/>
    <w:rsid w:val="005A4C7D"/>
    <w:rsid w:val="005B11CD"/>
    <w:rsid w:val="005D7355"/>
    <w:rsid w:val="005F4C2A"/>
    <w:rsid w:val="00605DEA"/>
    <w:rsid w:val="00651020"/>
    <w:rsid w:val="00653766"/>
    <w:rsid w:val="00667911"/>
    <w:rsid w:val="00670028"/>
    <w:rsid w:val="0068109E"/>
    <w:rsid w:val="006A5DAE"/>
    <w:rsid w:val="006A7631"/>
    <w:rsid w:val="006B7B93"/>
    <w:rsid w:val="006C0072"/>
    <w:rsid w:val="006D25C7"/>
    <w:rsid w:val="006D5ED7"/>
    <w:rsid w:val="006E617E"/>
    <w:rsid w:val="00713878"/>
    <w:rsid w:val="00716701"/>
    <w:rsid w:val="00716DAD"/>
    <w:rsid w:val="00763852"/>
    <w:rsid w:val="00780B98"/>
    <w:rsid w:val="007A33A4"/>
    <w:rsid w:val="007B75A5"/>
    <w:rsid w:val="007F2605"/>
    <w:rsid w:val="00810D4C"/>
    <w:rsid w:val="00820488"/>
    <w:rsid w:val="008206B3"/>
    <w:rsid w:val="00826D28"/>
    <w:rsid w:val="008272DE"/>
    <w:rsid w:val="00831B43"/>
    <w:rsid w:val="0084605D"/>
    <w:rsid w:val="00852979"/>
    <w:rsid w:val="008A2294"/>
    <w:rsid w:val="008A5ACB"/>
    <w:rsid w:val="008B0CD0"/>
    <w:rsid w:val="008F7873"/>
    <w:rsid w:val="0091131E"/>
    <w:rsid w:val="009267F7"/>
    <w:rsid w:val="009409E9"/>
    <w:rsid w:val="00950ABD"/>
    <w:rsid w:val="00954D77"/>
    <w:rsid w:val="00974FAE"/>
    <w:rsid w:val="00977960"/>
    <w:rsid w:val="009C45C1"/>
    <w:rsid w:val="009E663F"/>
    <w:rsid w:val="00A55EBE"/>
    <w:rsid w:val="00A56F5A"/>
    <w:rsid w:val="00A67D4E"/>
    <w:rsid w:val="00A764C5"/>
    <w:rsid w:val="00A91D1D"/>
    <w:rsid w:val="00A94056"/>
    <w:rsid w:val="00AA24E5"/>
    <w:rsid w:val="00AA321F"/>
    <w:rsid w:val="00AB1585"/>
    <w:rsid w:val="00AC62FA"/>
    <w:rsid w:val="00AD503C"/>
    <w:rsid w:val="00AD5E45"/>
    <w:rsid w:val="00AE343D"/>
    <w:rsid w:val="00B135EF"/>
    <w:rsid w:val="00B30870"/>
    <w:rsid w:val="00B56630"/>
    <w:rsid w:val="00B67A81"/>
    <w:rsid w:val="00B9207E"/>
    <w:rsid w:val="00B962EE"/>
    <w:rsid w:val="00BA7B97"/>
    <w:rsid w:val="00BB2F46"/>
    <w:rsid w:val="00BC675A"/>
    <w:rsid w:val="00BD7FE3"/>
    <w:rsid w:val="00BF0199"/>
    <w:rsid w:val="00BF3B30"/>
    <w:rsid w:val="00C3683A"/>
    <w:rsid w:val="00C708B0"/>
    <w:rsid w:val="00C907A3"/>
    <w:rsid w:val="00C90CC4"/>
    <w:rsid w:val="00CA0AE0"/>
    <w:rsid w:val="00CA2E1C"/>
    <w:rsid w:val="00CB581E"/>
    <w:rsid w:val="00CC17BF"/>
    <w:rsid w:val="00CE492D"/>
    <w:rsid w:val="00CE6C76"/>
    <w:rsid w:val="00D06767"/>
    <w:rsid w:val="00D34BB3"/>
    <w:rsid w:val="00D5271B"/>
    <w:rsid w:val="00D9148E"/>
    <w:rsid w:val="00DE5550"/>
    <w:rsid w:val="00DE6349"/>
    <w:rsid w:val="00E06ECE"/>
    <w:rsid w:val="00E24ADF"/>
    <w:rsid w:val="00E40AC4"/>
    <w:rsid w:val="00E47497"/>
    <w:rsid w:val="00E54466"/>
    <w:rsid w:val="00E57F33"/>
    <w:rsid w:val="00E64753"/>
    <w:rsid w:val="00E65BCC"/>
    <w:rsid w:val="00E73B04"/>
    <w:rsid w:val="00E92C6E"/>
    <w:rsid w:val="00EB2A44"/>
    <w:rsid w:val="00EC680F"/>
    <w:rsid w:val="00EE12D2"/>
    <w:rsid w:val="00EF28B2"/>
    <w:rsid w:val="00EF5910"/>
    <w:rsid w:val="00F04E5E"/>
    <w:rsid w:val="00F07B64"/>
    <w:rsid w:val="00F14B43"/>
    <w:rsid w:val="00F21432"/>
    <w:rsid w:val="00F30CB5"/>
    <w:rsid w:val="00F34380"/>
    <w:rsid w:val="00F62C0F"/>
    <w:rsid w:val="00F62EE7"/>
    <w:rsid w:val="00F77BF3"/>
    <w:rsid w:val="00F83006"/>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A1F8353"/>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semiHidden/>
    <w:unhideWhenUsed/>
    <w:rsid w:val="00D06767"/>
    <w:rPr>
      <w:vertAlign w:val="superscript"/>
    </w:rPr>
  </w:style>
  <w:style w:type="paragraph" w:styleId="Sansinterligne">
    <w:name w:val="No Spacing"/>
    <w:uiPriority w:val="1"/>
    <w:qFormat/>
    <w:rsid w:val="0067002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styleId="Lienhypertexte">
    <w:name w:val="Hyperlink"/>
    <w:basedOn w:val="Policepardfaut"/>
    <w:uiPriority w:val="99"/>
    <w:unhideWhenUsed/>
    <w:rsid w:val="006D25C7"/>
    <w:rPr>
      <w:color w:val="0000FF"/>
      <w:u w:val="single"/>
    </w:rPr>
  </w:style>
  <w:style w:type="paragraph" w:customStyle="1" w:styleId="doc-ti">
    <w:name w:val="doc-ti"/>
    <w:basedOn w:val="Normal"/>
    <w:rsid w:val="00F77BF3"/>
    <w:pPr>
      <w:widowControl/>
      <w:suppressAutoHyphens w:val="0"/>
      <w:autoSpaceDN/>
      <w:spacing w:before="100" w:beforeAutospacing="1" w:after="100" w:afterAutospacing="1"/>
      <w:textAlignment w:val="auto"/>
    </w:pPr>
    <w:rPr>
      <w:rFonts w:eastAsia="Times New Roman" w:cs="Times New Roman"/>
      <w:kern w:val="0"/>
      <w:lang w:val="fr-FR" w:eastAsia="fr-FR"/>
    </w:rPr>
  </w:style>
  <w:style w:type="character" w:styleId="Mentionnonrsolue">
    <w:name w:val="Unresolved Mention"/>
    <w:basedOn w:val="Policepardfaut"/>
    <w:uiPriority w:val="99"/>
    <w:semiHidden/>
    <w:unhideWhenUsed/>
    <w:rsid w:val="0065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448746648">
      <w:bodyDiv w:val="1"/>
      <w:marLeft w:val="0"/>
      <w:marRight w:val="0"/>
      <w:marTop w:val="0"/>
      <w:marBottom w:val="0"/>
      <w:divBdr>
        <w:top w:val="none" w:sz="0" w:space="0" w:color="auto"/>
        <w:left w:val="none" w:sz="0" w:space="0" w:color="auto"/>
        <w:bottom w:val="none" w:sz="0" w:space="0" w:color="auto"/>
        <w:right w:val="none" w:sz="0" w:space="0" w:color="auto"/>
      </w:divBdr>
    </w:div>
    <w:div w:id="449593586">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705909886">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44374626">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635404395">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1968192783">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erralaboris.be/" TargetMode="External"/><Relationship Id="rId2" Type="http://schemas.openxmlformats.org/officeDocument/2006/relationships/hyperlink" Target="https://www.autoriteprotectiondonnees.be/" TargetMode="External"/><Relationship Id="rId1" Type="http://schemas.openxmlformats.org/officeDocument/2006/relationships/hyperlink" Target="http://www.jurida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
      <w:docPartPr>
        <w:name w:val="30EB59F6644D4D0C8BF7D3790CEE8B39"/>
        <w:category>
          <w:name w:val="Général"/>
          <w:gallery w:val="placeholder"/>
        </w:category>
        <w:types>
          <w:type w:val="bbPlcHdr"/>
        </w:types>
        <w:behaviors>
          <w:behavior w:val="content"/>
        </w:behaviors>
        <w:guid w:val="{3B5C9123-9F21-40ED-ABDB-C11FCA2F422A}"/>
      </w:docPartPr>
      <w:docPartBody>
        <w:p w:rsidR="00E63CBF" w:rsidRDefault="006B63A9" w:rsidP="006B63A9">
          <w:pPr>
            <w:pStyle w:val="30EB59F6644D4D0C8BF7D3790CEE8B39"/>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6231F"/>
    <w:rsid w:val="001C7C29"/>
    <w:rsid w:val="0022769E"/>
    <w:rsid w:val="006B63A9"/>
    <w:rsid w:val="009D290D"/>
    <w:rsid w:val="00AB6DA2"/>
    <w:rsid w:val="00B21E7F"/>
    <w:rsid w:val="00B46B23"/>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 w:type="paragraph" w:customStyle="1" w:styleId="30EB59F6644D4D0C8BF7D3790CEE8B39">
    <w:name w:val="30EB59F6644D4D0C8BF7D3790CEE8B39"/>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3A77A-D3A4-4D5E-8135-F0D8E6F8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8214</Words>
  <Characters>45177</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3</cp:revision>
  <cp:lastPrinted>2019-03-12T10:08:00Z</cp:lastPrinted>
  <dcterms:created xsi:type="dcterms:W3CDTF">2023-04-14T09:07:00Z</dcterms:created>
  <dcterms:modified xsi:type="dcterms:W3CDTF">2023-06-29T09:03:00Z</dcterms:modified>
</cp:coreProperties>
</file>