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7BFB" w:rsidRDefault="00436627" w:rsidP="004108D4">
      <w:pPr>
        <w:pStyle w:val="Titre1"/>
        <w:ind w:right="-776"/>
        <w:jc w:val="center"/>
        <w:rPr>
          <w:rFonts w:ascii="Arial" w:hAnsi="Arial" w:cs="Arial"/>
          <w:spacing w:val="20"/>
          <w:sz w:val="32"/>
          <w:szCs w:val="32"/>
          <w:lang w:val="fr-BE"/>
        </w:rPr>
      </w:pPr>
      <w:r>
        <w:rPr>
          <w:rFonts w:ascii="Arial" w:hAnsi="Arial" w:cs="Arial"/>
          <w:noProof/>
          <w:sz w:val="28"/>
          <w:szCs w:val="28"/>
          <w:lang w:eastAsia="en-GB"/>
        </w:rPr>
        <w:drawing>
          <wp:anchor distT="0" distB="0" distL="114300" distR="114300" simplePos="0" relativeHeight="251659264" behindDoc="0" locked="0" layoutInCell="1" allowOverlap="0" wp14:anchorId="0679DA52" wp14:editId="0BB928C0">
            <wp:simplePos x="0" y="0"/>
            <wp:positionH relativeFrom="column">
              <wp:posOffset>-711200</wp:posOffset>
            </wp:positionH>
            <wp:positionV relativeFrom="paragraph">
              <wp:posOffset>0</wp:posOffset>
            </wp:positionV>
            <wp:extent cx="990600" cy="990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l="-10358" t="-1904" r="-10358" b="-1904"/>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BFB" w:rsidRDefault="00B17BFB" w:rsidP="004108D4">
      <w:pPr>
        <w:pStyle w:val="Titre1"/>
        <w:ind w:right="-776"/>
        <w:jc w:val="center"/>
        <w:rPr>
          <w:rFonts w:ascii="Arial" w:hAnsi="Arial" w:cs="Arial"/>
          <w:spacing w:val="20"/>
          <w:sz w:val="32"/>
          <w:szCs w:val="32"/>
          <w:lang w:val="fr-BE"/>
        </w:rPr>
      </w:pPr>
    </w:p>
    <w:p w:rsidR="00A036BA" w:rsidRPr="0000027B" w:rsidRDefault="00A036BA" w:rsidP="00D64CD8">
      <w:pPr>
        <w:pStyle w:val="Titre1"/>
        <w:ind w:right="-776"/>
        <w:jc w:val="center"/>
        <w:rPr>
          <w:rFonts w:cs="Times New Roman"/>
          <w:caps/>
          <w:spacing w:val="20"/>
          <w:sz w:val="36"/>
          <w:szCs w:val="36"/>
          <w:lang w:val="fr-BE"/>
        </w:rPr>
      </w:pPr>
      <w:r w:rsidRPr="0000027B">
        <w:rPr>
          <w:rFonts w:cs="Times New Roman"/>
          <w:caps/>
          <w:noProof/>
          <w:sz w:val="36"/>
          <w:szCs w:val="36"/>
          <w:lang w:eastAsia="en-GB"/>
        </w:rPr>
        <w:drawing>
          <wp:anchor distT="0" distB="0" distL="114300" distR="114300" simplePos="0" relativeHeight="251664384" behindDoc="0" locked="1" layoutInCell="1" allowOverlap="1" wp14:anchorId="139F65B3" wp14:editId="650D3002">
            <wp:simplePos x="0" y="0"/>
            <wp:positionH relativeFrom="column">
              <wp:posOffset>-774065</wp:posOffset>
            </wp:positionH>
            <wp:positionV relativeFrom="page">
              <wp:posOffset>794385</wp:posOffset>
            </wp:positionV>
            <wp:extent cx="948055" cy="1096645"/>
            <wp:effectExtent l="0" t="0" r="4445"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805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27B">
        <w:rPr>
          <w:rFonts w:cs="Times New Roman"/>
          <w:caps/>
          <w:spacing w:val="20"/>
          <w:sz w:val="36"/>
          <w:szCs w:val="36"/>
          <w:lang w:val="fr-BE"/>
        </w:rPr>
        <w:t xml:space="preserve">Le Tribunal du Travail de Liège </w:t>
      </w:r>
    </w:p>
    <w:p w:rsidR="00A036BA" w:rsidRPr="0000027B" w:rsidRDefault="00A036BA" w:rsidP="00D64CD8">
      <w:pPr>
        <w:pStyle w:val="Titre1"/>
        <w:ind w:right="-776"/>
        <w:jc w:val="center"/>
        <w:rPr>
          <w:rFonts w:cs="Times New Roman"/>
          <w:caps/>
          <w:spacing w:val="20"/>
          <w:sz w:val="36"/>
          <w:szCs w:val="36"/>
          <w:lang w:val="fr-BE"/>
        </w:rPr>
      </w:pPr>
      <w:r w:rsidRPr="0000027B">
        <w:rPr>
          <w:rFonts w:cs="Times New Roman"/>
          <w:caps/>
          <w:spacing w:val="20"/>
          <w:sz w:val="36"/>
          <w:szCs w:val="36"/>
          <w:lang w:val="fr-BE"/>
        </w:rPr>
        <w:t>Division de VERVIERS</w:t>
      </w:r>
    </w:p>
    <w:p w:rsidR="00A036BA" w:rsidRPr="0000027B" w:rsidRDefault="00A036BA" w:rsidP="00D64CD8">
      <w:pPr>
        <w:pStyle w:val="Textbody"/>
        <w:rPr>
          <w:rFonts w:cs="Times New Roman"/>
          <w:lang w:val="fr-BE"/>
        </w:rPr>
      </w:pPr>
    </w:p>
    <w:p w:rsidR="00A036BA" w:rsidRPr="00941777" w:rsidRDefault="00A036BA" w:rsidP="00D64CD8">
      <w:pPr>
        <w:pStyle w:val="Titre2"/>
        <w:jc w:val="center"/>
        <w:rPr>
          <w:rFonts w:ascii="Times New Roman" w:hAnsi="Times New Roman" w:cs="Times New Roman"/>
          <w:color w:val="auto"/>
          <w:sz w:val="28"/>
          <w:szCs w:val="28"/>
        </w:rPr>
      </w:pPr>
      <w:r w:rsidRPr="00941777">
        <w:rPr>
          <w:rFonts w:ascii="Times New Roman" w:hAnsi="Times New Roman" w:cs="Times New Roman"/>
          <w:color w:val="auto"/>
          <w:sz w:val="28"/>
          <w:szCs w:val="28"/>
        </w:rPr>
        <w:t xml:space="preserve">A rendu </w:t>
      </w:r>
      <w:r>
        <w:rPr>
          <w:rFonts w:ascii="Times New Roman" w:hAnsi="Times New Roman" w:cs="Times New Roman"/>
          <w:color w:val="auto"/>
          <w:sz w:val="28"/>
          <w:szCs w:val="28"/>
        </w:rPr>
        <w:t xml:space="preserve">ANTICIPATIVEMENT </w:t>
      </w:r>
      <w:r w:rsidRPr="00941777">
        <w:rPr>
          <w:rFonts w:ascii="Times New Roman" w:hAnsi="Times New Roman" w:cs="Times New Roman"/>
          <w:color w:val="auto"/>
          <w:sz w:val="28"/>
          <w:szCs w:val="28"/>
        </w:rPr>
        <w:t>le jugement suivant</w:t>
      </w:r>
    </w:p>
    <w:p w:rsidR="00A036BA" w:rsidRPr="0000027B" w:rsidRDefault="00A036BA" w:rsidP="00D64CD8">
      <w:pPr>
        <w:pStyle w:val="Titre2"/>
        <w:jc w:val="center"/>
        <w:rPr>
          <w:rFonts w:ascii="Times New Roman" w:hAnsi="Times New Roman" w:cs="Times New Roman"/>
          <w:color w:val="auto"/>
          <w:sz w:val="28"/>
          <w:szCs w:val="28"/>
        </w:rPr>
      </w:pPr>
      <w:r w:rsidRPr="00941777">
        <w:rPr>
          <w:rFonts w:ascii="Times New Roman" w:hAnsi="Times New Roman" w:cs="Times New Roman"/>
          <w:color w:val="auto"/>
          <w:sz w:val="28"/>
          <w:szCs w:val="28"/>
        </w:rPr>
        <w:t xml:space="preserve">à l’audience publique du </w:t>
      </w:r>
      <w:r>
        <w:rPr>
          <w:rFonts w:ascii="Times New Roman" w:hAnsi="Times New Roman" w:cs="Times New Roman"/>
          <w:color w:val="auto"/>
          <w:sz w:val="28"/>
          <w:szCs w:val="28"/>
        </w:rPr>
        <w:t>23 JUIN 2022</w:t>
      </w:r>
      <w:r w:rsidRPr="00941777">
        <w:rPr>
          <w:rFonts w:ascii="Times New Roman" w:hAnsi="Times New Roman" w:cs="Times New Roman"/>
          <w:color w:val="auto"/>
          <w:sz w:val="28"/>
          <w:szCs w:val="28"/>
        </w:rPr>
        <w:t xml:space="preserve"> – 2</w:t>
      </w:r>
      <w:r w:rsidRPr="00941777">
        <w:rPr>
          <w:rFonts w:ascii="Times New Roman" w:hAnsi="Times New Roman" w:cs="Times New Roman"/>
          <w:color w:val="auto"/>
          <w:sz w:val="28"/>
          <w:szCs w:val="28"/>
          <w:vertAlign w:val="superscript"/>
        </w:rPr>
        <w:t>ème</w:t>
      </w:r>
      <w:r w:rsidRPr="00941777">
        <w:rPr>
          <w:rFonts w:ascii="Times New Roman" w:hAnsi="Times New Roman" w:cs="Times New Roman"/>
          <w:color w:val="auto"/>
          <w:sz w:val="28"/>
          <w:szCs w:val="28"/>
        </w:rPr>
        <w:t xml:space="preserve"> Chambre</w:t>
      </w:r>
    </w:p>
    <w:p w:rsidR="009F40DC" w:rsidRPr="009F40DC" w:rsidRDefault="009F40DC" w:rsidP="004F49D6"/>
    <w:p w:rsidR="009F40DC" w:rsidRPr="000C480B" w:rsidRDefault="009F40DC" w:rsidP="004F49D6">
      <w:pPr>
        <w:pStyle w:val="Textebrut"/>
        <w:rPr>
          <w:rFonts w:ascii="Times New Roman" w:hAnsi="Times New Roman" w:cs="Times New Roman"/>
          <w:b/>
          <w:sz w:val="22"/>
          <w:szCs w:val="22"/>
          <w:lang w:val="fr-BE"/>
        </w:rPr>
      </w:pPr>
    </w:p>
    <w:p w:rsidR="009F40DC" w:rsidRDefault="003F3966" w:rsidP="009F40DC">
      <w:pPr>
        <w:pStyle w:val="Textebrut"/>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R.G. : </w:t>
      </w:r>
      <w:r>
        <w:rPr>
          <w:rFonts w:ascii="Times New Roman" w:hAnsi="Times New Roman" w:cs="Times New Roman"/>
          <w:b/>
          <w:sz w:val="24"/>
          <w:szCs w:val="24"/>
          <w:lang w:val="fr-FR"/>
        </w:rPr>
        <w:tab/>
        <w:t>21</w:t>
      </w:r>
      <w:r w:rsidR="009F40DC" w:rsidRPr="002E6D2D">
        <w:rPr>
          <w:rFonts w:ascii="Times New Roman" w:hAnsi="Times New Roman" w:cs="Times New Roman"/>
          <w:b/>
          <w:sz w:val="24"/>
          <w:szCs w:val="24"/>
          <w:lang w:val="fr-FR"/>
        </w:rPr>
        <w:t>/</w:t>
      </w:r>
      <w:r>
        <w:rPr>
          <w:rFonts w:ascii="Times New Roman" w:hAnsi="Times New Roman" w:cs="Times New Roman"/>
          <w:b/>
          <w:sz w:val="24"/>
          <w:szCs w:val="24"/>
          <w:lang w:val="fr-FR"/>
        </w:rPr>
        <w:t>434</w:t>
      </w:r>
      <w:r w:rsidR="009F40DC" w:rsidRPr="002E6D2D">
        <w:rPr>
          <w:rFonts w:ascii="Times New Roman" w:hAnsi="Times New Roman" w:cs="Times New Roman"/>
          <w:b/>
          <w:sz w:val="24"/>
          <w:szCs w:val="24"/>
          <w:lang w:val="fr-FR"/>
        </w:rPr>
        <w:t>/A</w:t>
      </w:r>
      <w:r w:rsidR="009F40DC" w:rsidRPr="002E6D2D">
        <w:rPr>
          <w:rFonts w:ascii="Times New Roman" w:hAnsi="Times New Roman" w:cs="Times New Roman"/>
          <w:b/>
          <w:sz w:val="24"/>
          <w:szCs w:val="24"/>
          <w:lang w:val="fr-FR"/>
        </w:rPr>
        <w:tab/>
      </w:r>
      <w:r w:rsidR="009F40DC" w:rsidRPr="002E6D2D">
        <w:rPr>
          <w:rFonts w:ascii="Times New Roman" w:hAnsi="Times New Roman" w:cs="Times New Roman"/>
          <w:b/>
          <w:sz w:val="24"/>
          <w:szCs w:val="24"/>
          <w:lang w:val="fr-FR"/>
        </w:rPr>
        <w:tab/>
      </w:r>
      <w:r w:rsidR="009F40DC" w:rsidRPr="002E6D2D">
        <w:rPr>
          <w:rFonts w:ascii="Times New Roman" w:hAnsi="Times New Roman" w:cs="Times New Roman"/>
          <w:b/>
          <w:sz w:val="24"/>
          <w:szCs w:val="24"/>
          <w:lang w:val="fr-FR"/>
        </w:rPr>
        <w:tab/>
      </w:r>
      <w:r w:rsidR="009F40DC" w:rsidRPr="002E6D2D">
        <w:rPr>
          <w:rFonts w:ascii="Times New Roman" w:hAnsi="Times New Roman" w:cs="Times New Roman"/>
          <w:b/>
          <w:sz w:val="24"/>
          <w:szCs w:val="24"/>
          <w:lang w:val="fr-FR"/>
        </w:rPr>
        <w:tab/>
      </w:r>
      <w:r w:rsidR="009F40DC" w:rsidRPr="002E6D2D">
        <w:rPr>
          <w:rFonts w:ascii="Times New Roman" w:hAnsi="Times New Roman" w:cs="Times New Roman"/>
          <w:b/>
          <w:color w:val="FF0000"/>
          <w:sz w:val="24"/>
          <w:szCs w:val="24"/>
          <w:lang w:val="fr-FR"/>
        </w:rPr>
        <w:t xml:space="preserve">Rép: </w:t>
      </w:r>
      <w:r w:rsidR="00EB6E6B">
        <w:rPr>
          <w:rFonts w:ascii="Times New Roman" w:hAnsi="Times New Roman" w:cs="Times New Roman"/>
          <w:b/>
          <w:color w:val="FF0000"/>
          <w:sz w:val="24"/>
          <w:szCs w:val="24"/>
          <w:lang w:val="fr-FR"/>
        </w:rPr>
        <w:t>2</w:t>
      </w:r>
      <w:r w:rsidR="00CC361F">
        <w:rPr>
          <w:rFonts w:ascii="Times New Roman" w:hAnsi="Times New Roman" w:cs="Times New Roman"/>
          <w:b/>
          <w:color w:val="FF0000"/>
          <w:sz w:val="24"/>
          <w:szCs w:val="24"/>
          <w:lang w:val="fr-FR"/>
        </w:rPr>
        <w:t>2</w:t>
      </w:r>
      <w:r w:rsidR="009F40DC" w:rsidRPr="002E6D2D">
        <w:rPr>
          <w:rFonts w:ascii="Times New Roman" w:hAnsi="Times New Roman" w:cs="Times New Roman"/>
          <w:b/>
          <w:color w:val="FF0000"/>
          <w:sz w:val="24"/>
          <w:szCs w:val="24"/>
          <w:lang w:val="fr-FR"/>
        </w:rPr>
        <w:t>/</w:t>
      </w:r>
    </w:p>
    <w:p w:rsidR="00B17BFB" w:rsidRPr="000C480B" w:rsidRDefault="00B17BFB" w:rsidP="00B17BFB">
      <w:pPr>
        <w:pStyle w:val="Textebrut"/>
        <w:rPr>
          <w:rFonts w:ascii="Times New Roman" w:hAnsi="Times New Roman" w:cs="Times New Roman"/>
          <w:u w:val="single"/>
          <w:lang w:val="fr-FR"/>
        </w:rPr>
      </w:pPr>
    </w:p>
    <w:p w:rsidR="00B17BFB" w:rsidRPr="000C480B" w:rsidRDefault="00B17BFB" w:rsidP="00B17BFB">
      <w:pPr>
        <w:snapToGrid w:val="0"/>
        <w:jc w:val="center"/>
        <w:rPr>
          <w:rFonts w:cs="Times New Roman"/>
          <w:lang w:val="fr-FR"/>
        </w:rPr>
      </w:pPr>
      <w:r w:rsidRPr="000C480B">
        <w:rPr>
          <w:rFonts w:cs="Times New Roman"/>
          <w:b/>
          <w:lang w:val="fr-FR"/>
        </w:rPr>
        <w:t xml:space="preserve">           En cause de</w:t>
      </w:r>
      <w:r w:rsidRPr="000C480B">
        <w:rPr>
          <w:rFonts w:cs="Times New Roman"/>
          <w:lang w:val="fr-FR"/>
        </w:rPr>
        <w:t xml:space="preserve"> :</w:t>
      </w:r>
    </w:p>
    <w:p w:rsidR="009A6BC1" w:rsidRPr="000C480B" w:rsidRDefault="009A6BC1" w:rsidP="009A6BC1">
      <w:pPr>
        <w:pStyle w:val="Standard"/>
        <w:jc w:val="both"/>
        <w:rPr>
          <w:rFonts w:cs="Times New Roman"/>
          <w:b/>
          <w:bCs/>
          <w:lang w:val="fr-BE"/>
        </w:rPr>
      </w:pPr>
      <w:bookmarkStart w:id="0" w:name="niveau"/>
    </w:p>
    <w:p w:rsidR="009030B2" w:rsidRDefault="00B76F9C" w:rsidP="00CA09C6">
      <w:pPr>
        <w:pStyle w:val="Standard"/>
        <w:ind w:left="1418"/>
        <w:rPr>
          <w:rFonts w:cs="Times New Roman"/>
          <w:b/>
          <w:bCs/>
          <w:lang w:val="fr-BE"/>
        </w:rPr>
      </w:pPr>
      <w:bookmarkStart w:id="1" w:name="demandeur"/>
      <w:r>
        <w:rPr>
          <w:rFonts w:cs="Times New Roman"/>
          <w:b/>
          <w:bCs/>
          <w:lang w:val="fr-BE"/>
        </w:rPr>
        <w:t>R.</w:t>
      </w:r>
      <w:r w:rsidR="000E63CE">
        <w:rPr>
          <w:rFonts w:cs="Times New Roman"/>
          <w:b/>
          <w:bCs/>
          <w:lang w:val="fr-BE"/>
        </w:rPr>
        <w:t xml:space="preserve"> </w:t>
      </w:r>
      <w:r w:rsidR="00147BFA">
        <w:rPr>
          <w:rFonts w:cs="Times New Roman"/>
          <w:b/>
          <w:bCs/>
          <w:lang w:val="fr-BE"/>
        </w:rPr>
        <w:t>,</w:t>
      </w:r>
    </w:p>
    <w:p w:rsidR="00E171DD" w:rsidRPr="00B821E0" w:rsidRDefault="00E171DD" w:rsidP="009A409F">
      <w:pPr>
        <w:pStyle w:val="Standard"/>
        <w:ind w:left="1418"/>
        <w:rPr>
          <w:rFonts w:cs="Times New Roman"/>
          <w:bCs/>
          <w:lang w:val="fr-BE"/>
        </w:rPr>
      </w:pPr>
      <w:bookmarkStart w:id="2" w:name="demavoc"/>
      <w:r w:rsidRPr="00B821E0">
        <w:rPr>
          <w:rFonts w:cs="Times New Roman"/>
          <w:bCs/>
          <w:lang w:val="fr-BE"/>
        </w:rPr>
        <w:t>Inscrit au Registre National sous le numéro</w:t>
      </w:r>
      <w:r>
        <w:rPr>
          <w:rFonts w:cs="Times New Roman"/>
          <w:bCs/>
          <w:lang w:val="fr-BE"/>
        </w:rPr>
        <w:t xml:space="preserve"> ,</w:t>
      </w:r>
    </w:p>
    <w:p w:rsidR="00E171DD" w:rsidRPr="00B821E0" w:rsidRDefault="00E171DD" w:rsidP="009A409F">
      <w:pPr>
        <w:pStyle w:val="Standard"/>
        <w:ind w:left="1418"/>
        <w:rPr>
          <w:rFonts w:cs="Times New Roman"/>
          <w:bCs/>
          <w:lang w:val="fr-BE"/>
        </w:rPr>
      </w:pPr>
      <w:r w:rsidRPr="00B821E0">
        <w:rPr>
          <w:rFonts w:cs="Times New Roman"/>
          <w:bCs/>
          <w:lang w:val="fr-BE"/>
        </w:rPr>
        <w:t xml:space="preserve">Domicilié à </w:t>
      </w:r>
      <w:r w:rsidR="000E63CE">
        <w:rPr>
          <w:rFonts w:cs="Times New Roman"/>
          <w:bCs/>
          <w:lang w:val="fr-BE"/>
        </w:rPr>
        <w:t>4</w:t>
      </w:r>
    </w:p>
    <w:p w:rsidR="00447CCF" w:rsidRPr="00447CCF" w:rsidRDefault="00447CCF">
      <w:pPr>
        <w:pStyle w:val="Standard"/>
        <w:ind w:left="35" w:right="-10"/>
        <w:rPr>
          <w:rFonts w:cs="Times New Roman"/>
          <w:bCs/>
          <w:lang w:val="fr-BE"/>
        </w:rPr>
      </w:pPr>
      <w:r>
        <w:rPr>
          <w:rFonts w:cs="Times New Roman"/>
          <w:bCs/>
          <w:lang w:val="fr-BE"/>
        </w:rPr>
        <w:tab/>
      </w:r>
      <w:r>
        <w:rPr>
          <w:rFonts w:cs="Times New Roman"/>
          <w:bCs/>
          <w:lang w:val="fr-BE"/>
        </w:rPr>
        <w:tab/>
      </w:r>
      <w:r w:rsidR="00E171DD" w:rsidRPr="00447CCF">
        <w:rPr>
          <w:rFonts w:cs="Times New Roman"/>
          <w:bCs/>
          <w:lang w:val="fr-BE"/>
        </w:rPr>
        <w:t xml:space="preserve">Partie </w:t>
      </w:r>
      <w:r w:rsidRPr="00447CCF">
        <w:rPr>
          <w:rFonts w:cs="Times New Roman"/>
          <w:bCs/>
          <w:lang w:val="fr-BE"/>
        </w:rPr>
        <w:t xml:space="preserve">demanderesse comparaissant par Maître REYNKENS Lucie loco </w:t>
      </w:r>
      <w:r>
        <w:rPr>
          <w:rFonts w:cs="Times New Roman"/>
          <w:bCs/>
          <w:lang w:val="fr-BE"/>
        </w:rPr>
        <w:tab/>
      </w:r>
      <w:r>
        <w:rPr>
          <w:rFonts w:cs="Times New Roman"/>
          <w:bCs/>
          <w:lang w:val="fr-BE"/>
        </w:rPr>
        <w:tab/>
      </w:r>
      <w:r>
        <w:rPr>
          <w:rFonts w:cs="Times New Roman"/>
          <w:bCs/>
          <w:lang w:val="fr-BE"/>
        </w:rPr>
        <w:tab/>
      </w:r>
      <w:r w:rsidRPr="00447CCF">
        <w:rPr>
          <w:rFonts w:cs="Times New Roman"/>
          <w:bCs/>
          <w:lang w:val="fr-BE"/>
        </w:rPr>
        <w:t xml:space="preserve">Maître ROBIDA Stéphane, avocat à BONCELLES </w:t>
      </w:r>
    </w:p>
    <w:bookmarkEnd w:id="2"/>
    <w:p w:rsidR="009030B2" w:rsidRDefault="009030B2" w:rsidP="009030B2">
      <w:pPr>
        <w:pStyle w:val="Standard"/>
        <w:ind w:left="1418"/>
        <w:jc w:val="both"/>
        <w:rPr>
          <w:rFonts w:cs="Times New Roman"/>
          <w:bCs/>
          <w:lang w:val="fr-BE"/>
        </w:rPr>
      </w:pPr>
    </w:p>
    <w:bookmarkEnd w:id="1"/>
    <w:p w:rsidR="009030B2" w:rsidRDefault="009030B2" w:rsidP="009030B2">
      <w:pPr>
        <w:pStyle w:val="Standard"/>
        <w:jc w:val="both"/>
        <w:rPr>
          <w:rFonts w:cs="Times New Roman"/>
          <w:bCs/>
          <w:caps/>
          <w:lang w:val="fr-BE"/>
        </w:rPr>
      </w:pPr>
      <w:r>
        <w:rPr>
          <w:rFonts w:cs="Times New Roman"/>
          <w:bCs/>
          <w:caps/>
          <w:lang w:val="fr-BE"/>
        </w:rPr>
        <w:t>contre :</w:t>
      </w:r>
    </w:p>
    <w:p w:rsidR="009030B2" w:rsidRDefault="009030B2" w:rsidP="009030B2">
      <w:pPr>
        <w:pStyle w:val="Standard"/>
        <w:ind w:left="1418"/>
        <w:jc w:val="both"/>
        <w:rPr>
          <w:rFonts w:cs="Times New Roman"/>
          <w:bCs/>
          <w:lang w:val="fr-BE"/>
        </w:rPr>
      </w:pPr>
    </w:p>
    <w:p w:rsidR="006D1FD0" w:rsidRDefault="006D1FD0" w:rsidP="006D1FD0">
      <w:pPr>
        <w:pStyle w:val="Standard"/>
        <w:ind w:left="1380"/>
        <w:rPr>
          <w:rFonts w:eastAsia="Courier" w:cs="Times New Roman"/>
          <w:bCs/>
          <w:color w:val="010101"/>
          <w:lang w:val="fr-FR"/>
        </w:rPr>
      </w:pPr>
      <w:bookmarkStart w:id="3" w:name="defendeur"/>
      <w:bookmarkEnd w:id="0"/>
      <w:r>
        <w:rPr>
          <w:rFonts w:eastAsia="Courier" w:cs="Times New Roman"/>
          <w:b/>
          <w:bCs/>
          <w:color w:val="010101"/>
          <w:lang w:val="fr-FR"/>
        </w:rPr>
        <w:t xml:space="preserve">Agence fédérale des risques professionnels, en abrégé FEDRIS, </w:t>
      </w:r>
      <w:r>
        <w:rPr>
          <w:rFonts w:eastAsia="Courier" w:cs="Times New Roman"/>
          <w:bCs/>
          <w:color w:val="010101"/>
          <w:lang w:val="fr-FR"/>
        </w:rPr>
        <w:t>inscrite à la BCE sous le n° 0206.734.318, ayant son siège social avenue de l'Astronomie, 1 à 1210 SAINT-JOSSE-TEN-NOODE.</w:t>
      </w:r>
    </w:p>
    <w:p w:rsidR="00447CCF" w:rsidRPr="00CC33F6" w:rsidRDefault="00E171DD">
      <w:pPr>
        <w:pStyle w:val="Standard"/>
        <w:ind w:left="35" w:right="-10"/>
        <w:rPr>
          <w:rFonts w:eastAsia="Courier" w:cs="Courier"/>
          <w:color w:val="010101"/>
          <w:sz w:val="22"/>
          <w:szCs w:val="22"/>
          <w:lang w:val="fr-BE"/>
        </w:rPr>
      </w:pPr>
      <w:bookmarkStart w:id="4" w:name="defavoc"/>
      <w:bookmarkEnd w:id="3"/>
      <w:r>
        <w:rPr>
          <w:rFonts w:eastAsia="Arial" w:cs="Times New Roman"/>
          <w:color w:val="010101"/>
          <w:lang w:val="fr-BE"/>
        </w:rPr>
        <w:tab/>
      </w:r>
      <w:r>
        <w:rPr>
          <w:rFonts w:eastAsia="Arial" w:cs="Times New Roman"/>
          <w:color w:val="010101"/>
          <w:lang w:val="fr-BE"/>
        </w:rPr>
        <w:tab/>
      </w:r>
      <w:r w:rsidRPr="00447CCF">
        <w:rPr>
          <w:rFonts w:cs="Times New Roman"/>
          <w:bCs/>
          <w:lang w:val="fr-BE"/>
        </w:rPr>
        <w:t xml:space="preserve">Partie défenderesse comparaissant par </w:t>
      </w:r>
      <w:bookmarkEnd w:id="4"/>
      <w:r w:rsidR="00447CCF" w:rsidRPr="00447CCF">
        <w:rPr>
          <w:rFonts w:cs="Times New Roman"/>
          <w:bCs/>
          <w:lang w:val="fr-BE"/>
        </w:rPr>
        <w:t xml:space="preserve">Maître CORNEZ Claire loco </w:t>
      </w:r>
      <w:r w:rsidR="00447CCF">
        <w:rPr>
          <w:rFonts w:cs="Times New Roman"/>
          <w:bCs/>
          <w:lang w:val="fr-BE"/>
        </w:rPr>
        <w:tab/>
      </w:r>
      <w:r w:rsidR="00447CCF">
        <w:rPr>
          <w:rFonts w:cs="Times New Roman"/>
          <w:bCs/>
          <w:lang w:val="fr-BE"/>
        </w:rPr>
        <w:tab/>
      </w:r>
      <w:r w:rsidR="00447CCF">
        <w:rPr>
          <w:rFonts w:cs="Times New Roman"/>
          <w:bCs/>
          <w:lang w:val="fr-BE"/>
        </w:rPr>
        <w:tab/>
      </w:r>
      <w:r w:rsidR="00447CCF" w:rsidRPr="00447CCF">
        <w:rPr>
          <w:rFonts w:cs="Times New Roman"/>
          <w:bCs/>
          <w:lang w:val="fr-BE"/>
        </w:rPr>
        <w:t>Maître DELFOSSE Vincent, avocat à LIEGE.</w:t>
      </w:r>
    </w:p>
    <w:p w:rsidR="000E601E" w:rsidRPr="006D1FD0" w:rsidRDefault="000E601E" w:rsidP="006D1FD0">
      <w:pPr>
        <w:pStyle w:val="Standard"/>
        <w:ind w:left="1380"/>
        <w:rPr>
          <w:rFonts w:eastAsia="Courier" w:cs="Times New Roman"/>
          <w:color w:val="010101"/>
          <w:lang w:val="fr-BE"/>
        </w:rPr>
      </w:pPr>
    </w:p>
    <w:p w:rsidR="00834670" w:rsidRPr="000C480B" w:rsidRDefault="00436627" w:rsidP="00712B25">
      <w:pPr>
        <w:pStyle w:val="Textbody"/>
        <w:ind w:firstLine="709"/>
        <w:jc w:val="center"/>
        <w:rPr>
          <w:rFonts w:eastAsia="Times New Roman" w:cs="Times New Roman"/>
          <w:lang w:val="fr-BE"/>
        </w:rPr>
      </w:pPr>
      <w:r w:rsidRPr="000C480B">
        <w:rPr>
          <w:rFonts w:cs="Times New Roman"/>
          <w:b/>
          <w:lang w:val="fr-BE"/>
        </w:rPr>
        <w:t>En</w:t>
      </w:r>
      <w:r w:rsidR="00712B25" w:rsidRPr="000C480B">
        <w:rPr>
          <w:rFonts w:cs="Times New Roman"/>
          <w:b/>
          <w:lang w:val="fr-BE"/>
        </w:rPr>
        <w:t xml:space="preserve"> droit,</w:t>
      </w:r>
    </w:p>
    <w:p w:rsidR="00712B25" w:rsidRPr="000C480B" w:rsidRDefault="00712B25" w:rsidP="00F621E2">
      <w:pPr>
        <w:tabs>
          <w:tab w:val="left" w:pos="-1440"/>
        </w:tabs>
        <w:snapToGrid w:val="0"/>
        <w:jc w:val="both"/>
        <w:rPr>
          <w:rFonts w:cs="Times New Roman"/>
          <w:b/>
        </w:rPr>
      </w:pPr>
    </w:p>
    <w:p w:rsidR="004E314D" w:rsidRPr="004E314D" w:rsidRDefault="004E314D" w:rsidP="004E314D">
      <w:pPr>
        <w:tabs>
          <w:tab w:val="left" w:pos="-1440"/>
        </w:tabs>
        <w:snapToGrid w:val="0"/>
        <w:jc w:val="both"/>
        <w:rPr>
          <w:rFonts w:cs="Times New Roman"/>
          <w:lang w:val="fr-FR"/>
        </w:rPr>
      </w:pPr>
      <w:r w:rsidRPr="004E314D">
        <w:rPr>
          <w:rFonts w:cs="Times New Roman"/>
          <w:lang w:val="fr-FR"/>
        </w:rPr>
        <w:t>Revu les antécédents de la procédure, notamment :</w:t>
      </w:r>
    </w:p>
    <w:p w:rsidR="004E314D" w:rsidRPr="004E314D" w:rsidRDefault="004E314D" w:rsidP="004E314D">
      <w:pPr>
        <w:tabs>
          <w:tab w:val="left" w:pos="-1440"/>
        </w:tabs>
        <w:snapToGrid w:val="0"/>
        <w:jc w:val="both"/>
        <w:rPr>
          <w:rFonts w:cs="Times New Roman"/>
          <w:lang w:val="fr-FR"/>
        </w:rPr>
      </w:pPr>
    </w:p>
    <w:p w:rsidR="006C4BDD" w:rsidRDefault="006C4BDD" w:rsidP="00341FFE">
      <w:pPr>
        <w:numPr>
          <w:ilvl w:val="0"/>
          <w:numId w:val="1"/>
        </w:numPr>
        <w:tabs>
          <w:tab w:val="left" w:pos="-1440"/>
        </w:tabs>
        <w:snapToGrid w:val="0"/>
        <w:jc w:val="both"/>
        <w:rPr>
          <w:lang w:val="fr-FR"/>
        </w:rPr>
      </w:pPr>
      <w:r w:rsidRPr="007070C3">
        <w:rPr>
          <w:lang w:val="fr-FR"/>
        </w:rPr>
        <w:t>la requête déposée au greffe le</w:t>
      </w:r>
      <w:r w:rsidR="001334C7">
        <w:rPr>
          <w:lang w:val="fr-FR"/>
        </w:rPr>
        <w:t xml:space="preserve"> 25 août 2021 </w:t>
      </w:r>
      <w:r w:rsidRPr="007070C3">
        <w:rPr>
          <w:lang w:val="fr-FR"/>
        </w:rPr>
        <w:t>et les convocations adressées aux parties sur pied de l‘article 1034 sexies du Code judiciaire ;</w:t>
      </w:r>
    </w:p>
    <w:p w:rsidR="006C4BDD" w:rsidRDefault="006C4BDD" w:rsidP="00341FFE">
      <w:pPr>
        <w:numPr>
          <w:ilvl w:val="0"/>
          <w:numId w:val="1"/>
        </w:numPr>
        <w:tabs>
          <w:tab w:val="left" w:pos="-1440"/>
        </w:tabs>
        <w:snapToGrid w:val="0"/>
        <w:jc w:val="both"/>
        <w:rPr>
          <w:lang w:val="fr-FR"/>
        </w:rPr>
      </w:pPr>
      <w:r>
        <w:rPr>
          <w:lang w:val="fr-FR"/>
        </w:rPr>
        <w:t>les conclusions de la partie défenderesse déposées au greffe le</w:t>
      </w:r>
      <w:r w:rsidR="001334C7">
        <w:rPr>
          <w:lang w:val="fr-FR"/>
        </w:rPr>
        <w:t xml:space="preserve"> 2 février 2022</w:t>
      </w:r>
      <w:r>
        <w:rPr>
          <w:lang w:val="fr-FR"/>
        </w:rPr>
        <w:t> </w:t>
      </w:r>
      <w:r w:rsidR="007713DC">
        <w:rPr>
          <w:lang w:val="fr-FR"/>
        </w:rPr>
        <w:t xml:space="preserve"> </w:t>
      </w:r>
      <w:r>
        <w:rPr>
          <w:lang w:val="fr-FR"/>
        </w:rPr>
        <w:t>;</w:t>
      </w:r>
    </w:p>
    <w:p w:rsidR="007713DC" w:rsidRPr="007713DC" w:rsidRDefault="007713DC" w:rsidP="007713DC">
      <w:pPr>
        <w:numPr>
          <w:ilvl w:val="0"/>
          <w:numId w:val="1"/>
        </w:numPr>
        <w:tabs>
          <w:tab w:val="left" w:pos="-1440"/>
        </w:tabs>
        <w:snapToGrid w:val="0"/>
        <w:jc w:val="both"/>
        <w:rPr>
          <w:lang w:val="fr-FR"/>
        </w:rPr>
      </w:pPr>
      <w:r>
        <w:rPr>
          <w:lang w:val="fr-FR"/>
        </w:rPr>
        <w:t xml:space="preserve">les conclusions de la partie demanderesse déposées </w:t>
      </w:r>
      <w:r w:rsidR="001334C7">
        <w:rPr>
          <w:lang w:val="fr-FR"/>
        </w:rPr>
        <w:t>au greffe</w:t>
      </w:r>
      <w:r w:rsidRPr="007713DC">
        <w:rPr>
          <w:lang w:val="fr-FR"/>
        </w:rPr>
        <w:t xml:space="preserve"> </w:t>
      </w:r>
      <w:r>
        <w:rPr>
          <w:lang w:val="fr-FR"/>
        </w:rPr>
        <w:t xml:space="preserve">le </w:t>
      </w:r>
      <w:r w:rsidR="001334C7">
        <w:rPr>
          <w:lang w:val="fr-FR"/>
        </w:rPr>
        <w:t>8 février</w:t>
      </w:r>
      <w:r>
        <w:rPr>
          <w:lang w:val="fr-FR"/>
        </w:rPr>
        <w:t xml:space="preserve"> 202</w:t>
      </w:r>
      <w:r w:rsidR="003E5F4D">
        <w:rPr>
          <w:lang w:val="fr-FR"/>
        </w:rPr>
        <w:t>2</w:t>
      </w:r>
      <w:r>
        <w:rPr>
          <w:lang w:val="fr-FR"/>
        </w:rPr>
        <w:t> ;</w:t>
      </w:r>
    </w:p>
    <w:p w:rsidR="006C4BDD" w:rsidRDefault="006C4BDD" w:rsidP="00341FFE">
      <w:pPr>
        <w:numPr>
          <w:ilvl w:val="0"/>
          <w:numId w:val="1"/>
        </w:numPr>
        <w:tabs>
          <w:tab w:val="left" w:pos="-1440"/>
        </w:tabs>
        <w:snapToGrid w:val="0"/>
        <w:jc w:val="both"/>
        <w:rPr>
          <w:lang w:val="fr-FR"/>
        </w:rPr>
      </w:pPr>
      <w:r w:rsidRPr="007070C3">
        <w:rPr>
          <w:lang w:val="fr-FR"/>
        </w:rPr>
        <w:t xml:space="preserve">le dossier de pièces de la partie demanderesse déposé, </w:t>
      </w:r>
      <w:r w:rsidR="007713DC">
        <w:rPr>
          <w:lang w:val="fr-FR"/>
        </w:rPr>
        <w:t>à l’audience publique</w:t>
      </w:r>
      <w:r>
        <w:rPr>
          <w:lang w:val="fr-FR"/>
        </w:rPr>
        <w:t>, le</w:t>
      </w:r>
      <w:r w:rsidR="001334C7">
        <w:rPr>
          <w:lang w:val="fr-FR"/>
        </w:rPr>
        <w:t xml:space="preserve"> 9 juin 2022</w:t>
      </w:r>
      <w:r w:rsidRPr="007070C3">
        <w:rPr>
          <w:lang w:val="fr-FR"/>
        </w:rPr>
        <w:t>;</w:t>
      </w:r>
    </w:p>
    <w:p w:rsidR="006C4BDD" w:rsidRPr="001669F3" w:rsidRDefault="006C4BDD" w:rsidP="00341FFE">
      <w:pPr>
        <w:numPr>
          <w:ilvl w:val="0"/>
          <w:numId w:val="1"/>
        </w:numPr>
        <w:tabs>
          <w:tab w:val="left" w:pos="-1440"/>
        </w:tabs>
        <w:snapToGrid w:val="0"/>
        <w:jc w:val="both"/>
        <w:rPr>
          <w:lang w:val="fr-FR"/>
        </w:rPr>
      </w:pPr>
      <w:r w:rsidRPr="007070C3">
        <w:rPr>
          <w:lang w:val="fr-FR"/>
        </w:rPr>
        <w:t xml:space="preserve">le dossier de pièces de la partie </w:t>
      </w:r>
      <w:r>
        <w:rPr>
          <w:lang w:val="fr-FR"/>
        </w:rPr>
        <w:t>défenderesse</w:t>
      </w:r>
      <w:r w:rsidRPr="007070C3">
        <w:rPr>
          <w:lang w:val="fr-FR"/>
        </w:rPr>
        <w:t xml:space="preserve"> déposé, </w:t>
      </w:r>
      <w:r>
        <w:rPr>
          <w:lang w:val="fr-FR"/>
        </w:rPr>
        <w:t>à l’audience publique, le</w:t>
      </w:r>
      <w:r w:rsidR="001334C7">
        <w:rPr>
          <w:lang w:val="fr-FR"/>
        </w:rPr>
        <w:t xml:space="preserve"> 9 juin 2022</w:t>
      </w:r>
      <w:r w:rsidRPr="007070C3">
        <w:rPr>
          <w:lang w:val="fr-FR"/>
        </w:rPr>
        <w:t>;</w:t>
      </w:r>
    </w:p>
    <w:p w:rsidR="006C4BDD" w:rsidRPr="004F06C6" w:rsidRDefault="006C4BDD" w:rsidP="00341FFE">
      <w:pPr>
        <w:numPr>
          <w:ilvl w:val="0"/>
          <w:numId w:val="1"/>
        </w:numPr>
        <w:tabs>
          <w:tab w:val="left" w:pos="-1440"/>
        </w:tabs>
        <w:snapToGrid w:val="0"/>
        <w:jc w:val="both"/>
        <w:rPr>
          <w:rFonts w:cs="Times New Roman"/>
          <w:lang w:val="fr-FR"/>
        </w:rPr>
      </w:pPr>
      <w:r w:rsidRPr="004F06C6">
        <w:rPr>
          <w:rFonts w:cs="Times New Roman"/>
          <w:lang w:val="fr-FR"/>
        </w:rPr>
        <w:t>le procès-verbal d’audience publique.</w:t>
      </w:r>
    </w:p>
    <w:p w:rsidR="004E314D" w:rsidRPr="004E314D" w:rsidRDefault="004E314D" w:rsidP="006C4BDD">
      <w:pPr>
        <w:tabs>
          <w:tab w:val="left" w:pos="-1440"/>
        </w:tabs>
        <w:snapToGrid w:val="0"/>
        <w:ind w:left="720"/>
        <w:jc w:val="both"/>
        <w:rPr>
          <w:rFonts w:cs="Times New Roman"/>
          <w:lang w:val="fr-FR"/>
        </w:rPr>
      </w:pPr>
    </w:p>
    <w:p w:rsidR="004E314D" w:rsidRPr="004E314D" w:rsidRDefault="004E314D" w:rsidP="004E314D">
      <w:pPr>
        <w:tabs>
          <w:tab w:val="left" w:pos="-1440"/>
        </w:tabs>
        <w:snapToGrid w:val="0"/>
        <w:jc w:val="both"/>
        <w:rPr>
          <w:rFonts w:cs="Times New Roman"/>
          <w:lang w:val="fr-FR"/>
        </w:rPr>
      </w:pPr>
    </w:p>
    <w:p w:rsidR="005C3277" w:rsidRDefault="004E314D" w:rsidP="004E314D">
      <w:pPr>
        <w:tabs>
          <w:tab w:val="left" w:pos="-1440"/>
        </w:tabs>
        <w:snapToGrid w:val="0"/>
        <w:jc w:val="both"/>
        <w:rPr>
          <w:rFonts w:cs="Times New Roman"/>
        </w:rPr>
      </w:pPr>
      <w:r w:rsidRPr="004E314D">
        <w:rPr>
          <w:rFonts w:cs="Times New Roman"/>
        </w:rPr>
        <w:t xml:space="preserve">Après avoir entendu les conseils des parties, à l’audience publique du </w:t>
      </w:r>
      <w:r w:rsidR="003E5F4D">
        <w:rPr>
          <w:rFonts w:cs="Times New Roman"/>
        </w:rPr>
        <w:t>9 juin 2022</w:t>
      </w:r>
      <w:r w:rsidRPr="004E314D">
        <w:rPr>
          <w:rFonts w:cs="Times New Roman"/>
        </w:rPr>
        <w:t>, le Tribunal a déclaré les débats clos, pris l’affaire en délibéré et fixé le prononcé du jugement à l’audience publique de ce jour.</w:t>
      </w:r>
    </w:p>
    <w:p w:rsidR="006D1FD0" w:rsidRPr="004E314D" w:rsidRDefault="006D1FD0" w:rsidP="004E314D">
      <w:pPr>
        <w:tabs>
          <w:tab w:val="left" w:pos="-1440"/>
        </w:tabs>
        <w:snapToGrid w:val="0"/>
        <w:jc w:val="both"/>
        <w:rPr>
          <w:rFonts w:cs="Times New Roman"/>
        </w:rPr>
      </w:pPr>
    </w:p>
    <w:p w:rsidR="004E314D" w:rsidRPr="004E314D" w:rsidRDefault="004E314D" w:rsidP="004E314D">
      <w:pPr>
        <w:numPr>
          <w:ilvl w:val="0"/>
          <w:numId w:val="2"/>
        </w:numPr>
        <w:tabs>
          <w:tab w:val="left" w:pos="-1440"/>
        </w:tabs>
        <w:snapToGrid w:val="0"/>
        <w:jc w:val="both"/>
        <w:rPr>
          <w:rFonts w:cs="Times New Roman"/>
          <w:b/>
          <w:u w:val="single"/>
          <w:lang w:val="fr-FR"/>
        </w:rPr>
      </w:pPr>
      <w:r w:rsidRPr="004E314D">
        <w:rPr>
          <w:rFonts w:cs="Times New Roman"/>
          <w:b/>
          <w:u w:val="single"/>
          <w:lang w:val="fr-FR"/>
        </w:rPr>
        <w:t>DEMANDE</w:t>
      </w:r>
    </w:p>
    <w:p w:rsidR="004E314D" w:rsidRPr="004E314D" w:rsidRDefault="004E314D" w:rsidP="004E314D">
      <w:pPr>
        <w:tabs>
          <w:tab w:val="left" w:pos="-1440"/>
        </w:tabs>
        <w:snapToGrid w:val="0"/>
        <w:jc w:val="both"/>
        <w:rPr>
          <w:rFonts w:cs="Times New Roman"/>
          <w:lang w:val="fr-FR"/>
        </w:rPr>
      </w:pPr>
    </w:p>
    <w:p w:rsidR="004E314D" w:rsidRPr="004E314D" w:rsidRDefault="003F3966" w:rsidP="004E314D">
      <w:pPr>
        <w:tabs>
          <w:tab w:val="left" w:pos="-1440"/>
        </w:tabs>
        <w:snapToGrid w:val="0"/>
        <w:jc w:val="both"/>
        <w:rPr>
          <w:rFonts w:cs="Times New Roman"/>
        </w:rPr>
      </w:pPr>
      <w:r>
        <w:rPr>
          <w:rFonts w:cs="Times New Roman"/>
        </w:rPr>
        <w:t>L’action soumise au T</w:t>
      </w:r>
      <w:r w:rsidR="004E314D" w:rsidRPr="004E314D">
        <w:rPr>
          <w:rFonts w:cs="Times New Roman"/>
        </w:rPr>
        <w:t>ribunal tend à la réformation d’une décision prise le</w:t>
      </w:r>
      <w:r w:rsidR="007922C0">
        <w:rPr>
          <w:rFonts w:cs="Times New Roman"/>
        </w:rPr>
        <w:t xml:space="preserve"> 21 septembre 2020</w:t>
      </w:r>
      <w:r w:rsidR="00E1668E">
        <w:rPr>
          <w:rFonts w:cs="Times New Roman"/>
        </w:rPr>
        <w:t xml:space="preserve"> p</w:t>
      </w:r>
      <w:r w:rsidR="004E314D" w:rsidRPr="004E314D">
        <w:rPr>
          <w:rFonts w:cs="Times New Roman"/>
        </w:rPr>
        <w:t xml:space="preserve">ar FEDRIS rejetant la demande </w:t>
      </w:r>
      <w:r w:rsidR="007922C0">
        <w:rPr>
          <w:rFonts w:cs="Times New Roman"/>
          <w:b/>
        </w:rPr>
        <w:t xml:space="preserve">en révision </w:t>
      </w:r>
      <w:r w:rsidR="004E314D" w:rsidRPr="004E314D">
        <w:rPr>
          <w:rFonts w:cs="Times New Roman"/>
        </w:rPr>
        <w:t xml:space="preserve">introduite par la partie demanderesse, le </w:t>
      </w:r>
      <w:r w:rsidR="007922C0">
        <w:rPr>
          <w:rFonts w:cs="Times New Roman"/>
        </w:rPr>
        <w:t xml:space="preserve">09 mai </w:t>
      </w:r>
      <w:r w:rsidR="005C3277">
        <w:rPr>
          <w:rFonts w:cs="Times New Roman"/>
        </w:rPr>
        <w:t>2019</w:t>
      </w:r>
      <w:r w:rsidR="004E314D" w:rsidRPr="004E314D">
        <w:rPr>
          <w:rFonts w:cs="Times New Roman"/>
        </w:rPr>
        <w:t>.</w:t>
      </w:r>
    </w:p>
    <w:p w:rsidR="004E314D" w:rsidRPr="004E314D" w:rsidRDefault="004E314D" w:rsidP="004E314D">
      <w:pPr>
        <w:tabs>
          <w:tab w:val="left" w:pos="-1440"/>
        </w:tabs>
        <w:snapToGrid w:val="0"/>
        <w:jc w:val="both"/>
        <w:rPr>
          <w:rFonts w:cs="Times New Roman"/>
        </w:rPr>
      </w:pPr>
    </w:p>
    <w:p w:rsidR="004E314D" w:rsidRPr="004E314D" w:rsidRDefault="004E314D" w:rsidP="004E314D">
      <w:pPr>
        <w:tabs>
          <w:tab w:val="left" w:pos="-1440"/>
        </w:tabs>
        <w:snapToGrid w:val="0"/>
        <w:jc w:val="both"/>
        <w:rPr>
          <w:rFonts w:cs="Times New Roman"/>
        </w:rPr>
      </w:pPr>
      <w:r w:rsidRPr="004E314D">
        <w:rPr>
          <w:rFonts w:cs="Times New Roman"/>
        </w:rPr>
        <w:t xml:space="preserve">Il y a lieu de préciser que la demande introduite concernait une affection  figurant sur la liste belge des maladies professionnelles donnant lieu à réparation reprise sous le code </w:t>
      </w:r>
      <w:r w:rsidRPr="007922C0">
        <w:rPr>
          <w:rFonts w:cs="Times New Roman"/>
          <w:b/>
        </w:rPr>
        <w:t>1.603, à savoir hypoacousie ou surdité provoquée par le bruit</w:t>
      </w:r>
      <w:r w:rsidRPr="004E314D">
        <w:rPr>
          <w:rFonts w:cs="Times New Roman"/>
        </w:rPr>
        <w:t>.</w:t>
      </w:r>
    </w:p>
    <w:p w:rsidR="004E314D" w:rsidRPr="004E314D" w:rsidRDefault="004E314D" w:rsidP="004E314D">
      <w:pPr>
        <w:tabs>
          <w:tab w:val="left" w:pos="-1440"/>
        </w:tabs>
        <w:snapToGrid w:val="0"/>
        <w:jc w:val="both"/>
        <w:rPr>
          <w:rFonts w:cs="Times New Roman"/>
        </w:rPr>
      </w:pPr>
    </w:p>
    <w:p w:rsidR="004E314D" w:rsidRPr="004E314D" w:rsidRDefault="004E314D" w:rsidP="004E314D">
      <w:pPr>
        <w:tabs>
          <w:tab w:val="left" w:pos="-1440"/>
        </w:tabs>
        <w:snapToGrid w:val="0"/>
        <w:jc w:val="both"/>
        <w:rPr>
          <w:rFonts w:cs="Times New Roman"/>
        </w:rPr>
      </w:pPr>
      <w:r w:rsidRPr="004E314D">
        <w:rPr>
          <w:rFonts w:cs="Times New Roman"/>
        </w:rPr>
        <w:t xml:space="preserve">Le recours introduit par requête reçue au greffe le </w:t>
      </w:r>
      <w:r w:rsidR="007922C0">
        <w:rPr>
          <w:rFonts w:cs="Times New Roman"/>
        </w:rPr>
        <w:t>25 août 2021</w:t>
      </w:r>
      <w:r w:rsidRPr="004E314D">
        <w:rPr>
          <w:rFonts w:cs="Times New Roman"/>
        </w:rPr>
        <w:t xml:space="preserve"> contre cette décision doit être déclaré recevable pour avoir été introduit dans les formes et délai prescrits par la loi.</w:t>
      </w:r>
    </w:p>
    <w:p w:rsidR="004E314D" w:rsidRPr="004E314D" w:rsidRDefault="004E314D" w:rsidP="004E314D">
      <w:pPr>
        <w:tabs>
          <w:tab w:val="left" w:pos="-1440"/>
        </w:tabs>
        <w:snapToGrid w:val="0"/>
        <w:jc w:val="both"/>
        <w:rPr>
          <w:rFonts w:cs="Times New Roman"/>
        </w:rPr>
      </w:pPr>
    </w:p>
    <w:p w:rsidR="004E314D" w:rsidRPr="004E314D" w:rsidRDefault="004E314D" w:rsidP="004E314D">
      <w:pPr>
        <w:numPr>
          <w:ilvl w:val="0"/>
          <w:numId w:val="2"/>
        </w:numPr>
        <w:tabs>
          <w:tab w:val="left" w:pos="-1440"/>
        </w:tabs>
        <w:snapToGrid w:val="0"/>
        <w:jc w:val="both"/>
        <w:rPr>
          <w:rFonts w:cs="Times New Roman"/>
          <w:b/>
          <w:bCs/>
          <w:u w:val="single"/>
        </w:rPr>
      </w:pPr>
      <w:r w:rsidRPr="004E314D">
        <w:rPr>
          <w:rFonts w:cs="Times New Roman"/>
          <w:b/>
          <w:bCs/>
          <w:u w:val="single"/>
        </w:rPr>
        <w:t>LES FAITS</w:t>
      </w:r>
    </w:p>
    <w:p w:rsidR="004E314D" w:rsidRPr="004E314D" w:rsidRDefault="004E314D" w:rsidP="004E314D">
      <w:pPr>
        <w:tabs>
          <w:tab w:val="left" w:pos="-1440"/>
        </w:tabs>
        <w:snapToGrid w:val="0"/>
        <w:jc w:val="both"/>
        <w:rPr>
          <w:rFonts w:cs="Times New Roman"/>
        </w:rPr>
      </w:pPr>
    </w:p>
    <w:p w:rsidR="00497C0C" w:rsidRDefault="004E314D" w:rsidP="004E314D">
      <w:pPr>
        <w:tabs>
          <w:tab w:val="left" w:pos="-1440"/>
        </w:tabs>
        <w:snapToGrid w:val="0"/>
        <w:jc w:val="both"/>
        <w:rPr>
          <w:rFonts w:cs="Times New Roman"/>
        </w:rPr>
      </w:pPr>
      <w:r w:rsidRPr="004E314D">
        <w:rPr>
          <w:rFonts w:cs="Times New Roman"/>
        </w:rPr>
        <w:t xml:space="preserve">En date du </w:t>
      </w:r>
      <w:r w:rsidR="007922C0">
        <w:rPr>
          <w:rFonts w:cs="Times New Roman"/>
        </w:rPr>
        <w:t>21 septembre 2020</w:t>
      </w:r>
      <w:r w:rsidRPr="004E314D">
        <w:rPr>
          <w:rFonts w:cs="Times New Roman"/>
        </w:rPr>
        <w:t xml:space="preserve">, la partie défenderesse a </w:t>
      </w:r>
      <w:r w:rsidR="00497C0C">
        <w:rPr>
          <w:rFonts w:cs="Times New Roman"/>
        </w:rPr>
        <w:t>déclaré la demande fondée.</w:t>
      </w:r>
    </w:p>
    <w:p w:rsidR="00497C0C" w:rsidRDefault="00497C0C" w:rsidP="004E314D">
      <w:pPr>
        <w:tabs>
          <w:tab w:val="left" w:pos="-1440"/>
        </w:tabs>
        <w:snapToGrid w:val="0"/>
        <w:jc w:val="both"/>
        <w:rPr>
          <w:rFonts w:cs="Times New Roman"/>
        </w:rPr>
      </w:pPr>
    </w:p>
    <w:p w:rsidR="007922C0" w:rsidRDefault="00497C0C" w:rsidP="004E314D">
      <w:pPr>
        <w:tabs>
          <w:tab w:val="left" w:pos="-1440"/>
        </w:tabs>
        <w:snapToGrid w:val="0"/>
        <w:jc w:val="both"/>
        <w:rPr>
          <w:rFonts w:cs="Times New Roman"/>
        </w:rPr>
      </w:pPr>
      <w:r>
        <w:rPr>
          <w:rFonts w:cs="Times New Roman"/>
        </w:rPr>
        <w:t>Toutefois, elle a considéré que l’état de santé de la partie demanderesse en rapport avec sa maladie professionnelle n’avait pas évolué depuis la précédente décision.  Le taux d’incapacité de travail fut, dès lo</w:t>
      </w:r>
      <w:r w:rsidR="00417CF5">
        <w:rPr>
          <w:rFonts w:cs="Times New Roman"/>
        </w:rPr>
        <w:t>rs, maintenu et ce, uniquement jusqu’au 30 septembre 2020 de même que les soins de santé jusqu’à la même date.</w:t>
      </w:r>
    </w:p>
    <w:p w:rsidR="00497C0C" w:rsidRPr="004E314D" w:rsidRDefault="00497C0C" w:rsidP="004E314D">
      <w:pPr>
        <w:tabs>
          <w:tab w:val="left" w:pos="-1440"/>
        </w:tabs>
        <w:snapToGrid w:val="0"/>
        <w:jc w:val="both"/>
        <w:rPr>
          <w:rFonts w:cs="Times New Roman"/>
        </w:rPr>
      </w:pPr>
    </w:p>
    <w:p w:rsidR="004E314D" w:rsidRDefault="004E314D" w:rsidP="004E314D">
      <w:pPr>
        <w:tabs>
          <w:tab w:val="left" w:pos="-1440"/>
        </w:tabs>
        <w:snapToGrid w:val="0"/>
        <w:jc w:val="both"/>
        <w:rPr>
          <w:rFonts w:cs="Times New Roman"/>
        </w:rPr>
      </w:pPr>
      <w:r w:rsidRPr="004E314D">
        <w:rPr>
          <w:rFonts w:cs="Times New Roman"/>
          <w:u w:val="single"/>
        </w:rPr>
        <w:t>La partie demanderesse</w:t>
      </w:r>
      <w:r w:rsidRPr="004E314D">
        <w:rPr>
          <w:rFonts w:cs="Times New Roman"/>
        </w:rPr>
        <w:t xml:space="preserve"> s’oppose à cette décision et dépose, à cet effet, un rapport médical établi par </w:t>
      </w:r>
      <w:r w:rsidR="00E1668E">
        <w:rPr>
          <w:rFonts w:cs="Times New Roman"/>
        </w:rPr>
        <w:t>son médecin conseil</w:t>
      </w:r>
      <w:r w:rsidRPr="004E314D">
        <w:rPr>
          <w:rFonts w:cs="Times New Roman"/>
        </w:rPr>
        <w:t xml:space="preserve"> lequel estime qu’il y a lieu de reconnaître une incapacité physique</w:t>
      </w:r>
      <w:r w:rsidR="00497C0C">
        <w:rPr>
          <w:rFonts w:cs="Times New Roman"/>
        </w:rPr>
        <w:t xml:space="preserve"> supérieure au</w:t>
      </w:r>
      <w:r w:rsidR="0038496E">
        <w:rPr>
          <w:rFonts w:cs="Times New Roman"/>
        </w:rPr>
        <w:t xml:space="preserve"> taux de</w:t>
      </w:r>
      <w:r w:rsidR="00497C0C">
        <w:rPr>
          <w:rFonts w:cs="Times New Roman"/>
        </w:rPr>
        <w:t xml:space="preserve"> 6 % initialement retenu.</w:t>
      </w:r>
    </w:p>
    <w:p w:rsidR="00506CC6" w:rsidRDefault="00506CC6" w:rsidP="004E314D">
      <w:pPr>
        <w:tabs>
          <w:tab w:val="left" w:pos="-1440"/>
        </w:tabs>
        <w:snapToGrid w:val="0"/>
        <w:jc w:val="both"/>
        <w:rPr>
          <w:rFonts w:cs="Times New Roman"/>
        </w:rPr>
      </w:pPr>
    </w:p>
    <w:p w:rsidR="00497C0C" w:rsidRDefault="00506CC6" w:rsidP="004E314D">
      <w:pPr>
        <w:tabs>
          <w:tab w:val="left" w:pos="-1440"/>
        </w:tabs>
        <w:snapToGrid w:val="0"/>
        <w:jc w:val="both"/>
        <w:rPr>
          <w:rFonts w:cs="Times New Roman"/>
        </w:rPr>
      </w:pPr>
      <w:r>
        <w:rPr>
          <w:rFonts w:cs="Times New Roman"/>
        </w:rPr>
        <w:t xml:space="preserve">Elle </w:t>
      </w:r>
      <w:r w:rsidR="007922C0">
        <w:rPr>
          <w:rFonts w:cs="Times New Roman"/>
        </w:rPr>
        <w:t>dépose</w:t>
      </w:r>
      <w:r w:rsidR="0038496E">
        <w:rPr>
          <w:rFonts w:cs="Times New Roman"/>
        </w:rPr>
        <w:t>,</w:t>
      </w:r>
      <w:r w:rsidR="007922C0">
        <w:rPr>
          <w:rFonts w:cs="Times New Roman"/>
        </w:rPr>
        <w:t xml:space="preserve"> à cet effet, un rapport du Docteur LAAOUEJ</w:t>
      </w:r>
      <w:r w:rsidR="00497C0C">
        <w:rPr>
          <w:rFonts w:cs="Times New Roman"/>
        </w:rPr>
        <w:t>.</w:t>
      </w:r>
    </w:p>
    <w:p w:rsidR="00497C0C" w:rsidRDefault="00497C0C" w:rsidP="004E314D">
      <w:pPr>
        <w:tabs>
          <w:tab w:val="left" w:pos="-1440"/>
        </w:tabs>
        <w:snapToGrid w:val="0"/>
        <w:jc w:val="both"/>
        <w:rPr>
          <w:rFonts w:cs="Times New Roman"/>
        </w:rPr>
      </w:pPr>
    </w:p>
    <w:p w:rsidR="00497C0C" w:rsidRDefault="00497C0C" w:rsidP="004E314D">
      <w:pPr>
        <w:tabs>
          <w:tab w:val="left" w:pos="-1440"/>
        </w:tabs>
        <w:snapToGrid w:val="0"/>
        <w:jc w:val="both"/>
        <w:rPr>
          <w:rFonts w:cs="Times New Roman"/>
        </w:rPr>
      </w:pPr>
      <w:r>
        <w:rPr>
          <w:rFonts w:cs="Times New Roman"/>
        </w:rPr>
        <w:t>Par ailleurs, elle s’étonne que le taux de 6 % soit retenu à titre d’incapacité permanente tout en étant limité dans le temps.</w:t>
      </w:r>
    </w:p>
    <w:p w:rsidR="00497C0C" w:rsidRDefault="00497C0C" w:rsidP="004E314D">
      <w:pPr>
        <w:tabs>
          <w:tab w:val="left" w:pos="-1440"/>
        </w:tabs>
        <w:snapToGrid w:val="0"/>
        <w:jc w:val="both"/>
        <w:rPr>
          <w:rFonts w:cs="Times New Roman"/>
        </w:rPr>
      </w:pPr>
    </w:p>
    <w:p w:rsidR="00497C0C" w:rsidRDefault="00497C0C" w:rsidP="004E314D">
      <w:pPr>
        <w:tabs>
          <w:tab w:val="left" w:pos="-1440"/>
        </w:tabs>
        <w:snapToGrid w:val="0"/>
        <w:jc w:val="both"/>
        <w:rPr>
          <w:rFonts w:cs="Times New Roman"/>
        </w:rPr>
      </w:pPr>
      <w:r>
        <w:rPr>
          <w:rFonts w:cs="Times New Roman"/>
        </w:rPr>
        <w:t>Elle conteste la méthode d’évaluation utilisée par FEDRIS.</w:t>
      </w:r>
    </w:p>
    <w:p w:rsidR="00497C0C" w:rsidRDefault="00497C0C" w:rsidP="004E314D">
      <w:pPr>
        <w:tabs>
          <w:tab w:val="left" w:pos="-1440"/>
        </w:tabs>
        <w:snapToGrid w:val="0"/>
        <w:jc w:val="both"/>
        <w:rPr>
          <w:rFonts w:cs="Times New Roman"/>
        </w:rPr>
      </w:pPr>
    </w:p>
    <w:p w:rsidR="00497C0C" w:rsidRDefault="00497C0C" w:rsidP="004E314D">
      <w:pPr>
        <w:tabs>
          <w:tab w:val="left" w:pos="-1440"/>
        </w:tabs>
        <w:snapToGrid w:val="0"/>
        <w:jc w:val="both"/>
        <w:rPr>
          <w:rFonts w:cs="Times New Roman"/>
        </w:rPr>
      </w:pPr>
      <w:r>
        <w:rPr>
          <w:rFonts w:cs="Times New Roman"/>
        </w:rPr>
        <w:t>Enfin, en ce qui concerne la maladie de M</w:t>
      </w:r>
      <w:r w:rsidR="004E0DC0">
        <w:rPr>
          <w:rFonts w:cs="Times New Roman"/>
        </w:rPr>
        <w:t>énière</w:t>
      </w:r>
      <w:r>
        <w:rPr>
          <w:rFonts w:cs="Times New Roman"/>
        </w:rPr>
        <w:t xml:space="preserve"> dont elle souffre, elle souligne qu’elle existe depuis l’année 2000 de sorte que cette donnée était connue de FEDRIS lors de</w:t>
      </w:r>
      <w:r w:rsidR="0038496E">
        <w:rPr>
          <w:rFonts w:cs="Times New Roman"/>
        </w:rPr>
        <w:t>s</w:t>
      </w:r>
      <w:r>
        <w:rPr>
          <w:rFonts w:cs="Times New Roman"/>
        </w:rPr>
        <w:t xml:space="preserve"> premiers examens qui ont abouti à fixer l’incapacité permanente à 6 %.</w:t>
      </w:r>
    </w:p>
    <w:p w:rsidR="007922C0" w:rsidRDefault="00497C0C" w:rsidP="004E314D">
      <w:pPr>
        <w:tabs>
          <w:tab w:val="left" w:pos="-1440"/>
        </w:tabs>
        <w:snapToGrid w:val="0"/>
        <w:jc w:val="both"/>
        <w:rPr>
          <w:rFonts w:cs="Times New Roman"/>
        </w:rPr>
      </w:pPr>
      <w:r>
        <w:rPr>
          <w:rFonts w:cs="Times New Roman"/>
        </w:rPr>
        <w:t xml:space="preserve"> </w:t>
      </w:r>
    </w:p>
    <w:p w:rsidR="004E314D" w:rsidRPr="004E314D" w:rsidRDefault="004E314D" w:rsidP="004E314D">
      <w:pPr>
        <w:tabs>
          <w:tab w:val="left" w:pos="-1440"/>
        </w:tabs>
        <w:snapToGrid w:val="0"/>
        <w:jc w:val="both"/>
        <w:rPr>
          <w:rFonts w:cs="Times New Roman"/>
        </w:rPr>
      </w:pPr>
      <w:r w:rsidRPr="004E314D">
        <w:rPr>
          <w:rFonts w:cs="Times New Roman"/>
        </w:rPr>
        <w:t>Elle sollicite, dès lors, avant dire droit, la désignation d’un expert à qui sera confiée la mission de déterminer si le requérant est atteint d’une maladie reprise dans la liste sous le code 1.603.</w:t>
      </w:r>
    </w:p>
    <w:p w:rsidR="000E601E" w:rsidRPr="007070C3" w:rsidRDefault="000E601E" w:rsidP="000E601E">
      <w:pPr>
        <w:tabs>
          <w:tab w:val="left" w:pos="-1440"/>
        </w:tabs>
        <w:snapToGrid w:val="0"/>
        <w:jc w:val="both"/>
        <w:rPr>
          <w:rFonts w:cs="Times New Roman"/>
        </w:rPr>
      </w:pPr>
    </w:p>
    <w:p w:rsidR="000E601E" w:rsidRDefault="000E601E" w:rsidP="000E601E">
      <w:pPr>
        <w:tabs>
          <w:tab w:val="left" w:pos="-1440"/>
        </w:tabs>
        <w:snapToGrid w:val="0"/>
        <w:jc w:val="both"/>
        <w:rPr>
          <w:rFonts w:cs="Times New Roman"/>
        </w:rPr>
      </w:pPr>
      <w:r w:rsidRPr="00497C0C">
        <w:rPr>
          <w:rFonts w:cs="Times New Roman"/>
          <w:u w:val="single"/>
        </w:rPr>
        <w:t>La partie défenderesse</w:t>
      </w:r>
      <w:r w:rsidRPr="00497C0C">
        <w:rPr>
          <w:rFonts w:cs="Times New Roman"/>
        </w:rPr>
        <w:t xml:space="preserve"> postule, </w:t>
      </w:r>
      <w:r w:rsidRPr="00497C0C">
        <w:rPr>
          <w:rFonts w:cs="Times New Roman"/>
          <w:b/>
        </w:rPr>
        <w:t>à titre principal</w:t>
      </w:r>
      <w:r w:rsidRPr="00497C0C">
        <w:rPr>
          <w:rFonts w:cs="Times New Roman"/>
        </w:rPr>
        <w:t>, qu’il soit statué ce que de droit quant à la recevabilité et que la demande soit déclarée non fondée.</w:t>
      </w:r>
    </w:p>
    <w:p w:rsidR="000E601E" w:rsidRDefault="000E601E" w:rsidP="000E601E">
      <w:pPr>
        <w:tabs>
          <w:tab w:val="left" w:pos="-1440"/>
        </w:tabs>
        <w:snapToGrid w:val="0"/>
        <w:jc w:val="both"/>
        <w:rPr>
          <w:rFonts w:cs="Times New Roman"/>
        </w:rPr>
      </w:pPr>
    </w:p>
    <w:p w:rsidR="000E601E" w:rsidRDefault="00417CF5" w:rsidP="00417CF5">
      <w:pPr>
        <w:tabs>
          <w:tab w:val="left" w:pos="-1440"/>
        </w:tabs>
        <w:snapToGrid w:val="0"/>
        <w:jc w:val="both"/>
        <w:rPr>
          <w:rFonts w:cs="Times New Roman"/>
        </w:rPr>
      </w:pPr>
      <w:r>
        <w:rPr>
          <w:rFonts w:cs="Times New Roman"/>
        </w:rPr>
        <w:t>Elle</w:t>
      </w:r>
      <w:r w:rsidR="008D6CF9">
        <w:rPr>
          <w:rFonts w:cs="Times New Roman"/>
        </w:rPr>
        <w:t xml:space="preserve"> précise que la question de l’exposition au risque professionnel ne suscite pas de contestation.</w:t>
      </w:r>
    </w:p>
    <w:p w:rsidR="00B268DA" w:rsidRDefault="00B268DA" w:rsidP="00417CF5">
      <w:pPr>
        <w:tabs>
          <w:tab w:val="left" w:pos="-1440"/>
        </w:tabs>
        <w:snapToGrid w:val="0"/>
        <w:jc w:val="both"/>
        <w:rPr>
          <w:rFonts w:cs="Times New Roman"/>
        </w:rPr>
      </w:pPr>
    </w:p>
    <w:p w:rsidR="00B268DA" w:rsidRDefault="00B268DA" w:rsidP="00417CF5">
      <w:pPr>
        <w:tabs>
          <w:tab w:val="left" w:pos="-1440"/>
        </w:tabs>
        <w:snapToGrid w:val="0"/>
        <w:jc w:val="both"/>
        <w:rPr>
          <w:rFonts w:cs="Times New Roman"/>
        </w:rPr>
      </w:pPr>
      <w:r>
        <w:rPr>
          <w:rFonts w:cs="Times New Roman"/>
        </w:rPr>
        <w:t>Concernant l’atteinte, si elle fut reconnue antérieurement, en octobre 2018, elle considère qu’il n’existe plus aujourd’hui d’atteinte susceptible d’</w:t>
      </w:r>
      <w:r w:rsidR="005B0B8F">
        <w:rPr>
          <w:rFonts w:cs="Times New Roman"/>
        </w:rPr>
        <w:t>être indemnisée, en raison des résultats discordants à ceux obtenus en 2018.</w:t>
      </w:r>
    </w:p>
    <w:p w:rsidR="005B0B8F" w:rsidRDefault="005B0B8F" w:rsidP="00417CF5">
      <w:pPr>
        <w:tabs>
          <w:tab w:val="left" w:pos="-1440"/>
        </w:tabs>
        <w:snapToGrid w:val="0"/>
        <w:jc w:val="both"/>
        <w:rPr>
          <w:rFonts w:cs="Times New Roman"/>
        </w:rPr>
      </w:pPr>
    </w:p>
    <w:p w:rsidR="005B0B8F" w:rsidRDefault="005B0B8F" w:rsidP="00417CF5">
      <w:pPr>
        <w:tabs>
          <w:tab w:val="left" w:pos="-1440"/>
        </w:tabs>
        <w:snapToGrid w:val="0"/>
        <w:jc w:val="both"/>
        <w:rPr>
          <w:rFonts w:cs="Times New Roman"/>
        </w:rPr>
      </w:pPr>
      <w:r>
        <w:rPr>
          <w:rFonts w:cs="Times New Roman"/>
        </w:rPr>
        <w:lastRenderedPageBreak/>
        <w:t>Elle attribue cette amélioration aux conséquences de la maladie de Ménière.</w:t>
      </w:r>
    </w:p>
    <w:p w:rsidR="000E601E" w:rsidRDefault="000E601E" w:rsidP="000E601E">
      <w:pPr>
        <w:tabs>
          <w:tab w:val="left" w:pos="-1440"/>
        </w:tabs>
        <w:snapToGrid w:val="0"/>
        <w:jc w:val="both"/>
        <w:rPr>
          <w:rFonts w:cs="Times New Roman"/>
        </w:rPr>
      </w:pPr>
    </w:p>
    <w:p w:rsidR="000E601E" w:rsidRDefault="000E601E" w:rsidP="000E601E">
      <w:pPr>
        <w:tabs>
          <w:tab w:val="left" w:pos="-1440"/>
        </w:tabs>
        <w:snapToGrid w:val="0"/>
        <w:jc w:val="both"/>
        <w:rPr>
          <w:rFonts w:cs="Times New Roman"/>
        </w:rPr>
      </w:pPr>
      <w:r w:rsidRPr="008F6BDB">
        <w:rPr>
          <w:rFonts w:cs="Times New Roman"/>
          <w:b/>
        </w:rPr>
        <w:t>A titre subsidiaire</w:t>
      </w:r>
      <w:r>
        <w:rPr>
          <w:rFonts w:cs="Times New Roman"/>
        </w:rPr>
        <w:t>, si une expertise devait être diligentée, elle précise la mission d’expertise à devoir soumettre.</w:t>
      </w:r>
    </w:p>
    <w:p w:rsidR="000E601E" w:rsidRDefault="000E601E" w:rsidP="000E601E">
      <w:pPr>
        <w:tabs>
          <w:tab w:val="left" w:pos="-1440"/>
        </w:tabs>
        <w:snapToGrid w:val="0"/>
        <w:jc w:val="both"/>
        <w:rPr>
          <w:rFonts w:cs="Times New Roman"/>
        </w:rPr>
      </w:pPr>
      <w:r>
        <w:rPr>
          <w:rFonts w:cs="Times New Roman"/>
        </w:rPr>
        <w:t>Elle sollicite l’écartement de l’article 1050 alinéa 2 du Code judiciaire et postule qu’il n’y ait pas lieu à exécution provisoire</w:t>
      </w:r>
    </w:p>
    <w:p w:rsidR="000E601E" w:rsidRDefault="000E601E" w:rsidP="000E601E">
      <w:pPr>
        <w:tabs>
          <w:tab w:val="left" w:pos="-1440"/>
        </w:tabs>
        <w:snapToGrid w:val="0"/>
        <w:jc w:val="both"/>
        <w:rPr>
          <w:rFonts w:cs="Times New Roman"/>
        </w:rPr>
      </w:pPr>
    </w:p>
    <w:p w:rsidR="000E601E" w:rsidRDefault="000E601E" w:rsidP="000E601E">
      <w:pPr>
        <w:tabs>
          <w:tab w:val="left" w:pos="-1440"/>
        </w:tabs>
        <w:snapToGrid w:val="0"/>
        <w:jc w:val="both"/>
        <w:rPr>
          <w:rFonts w:cs="Times New Roman"/>
        </w:rPr>
      </w:pPr>
      <w:r>
        <w:rPr>
          <w:rFonts w:cs="Times New Roman"/>
        </w:rPr>
        <w:t>Elle demande d’être autorisée à payer directement l’état de frais et honoraires aux sapiteurs désignés.</w:t>
      </w:r>
    </w:p>
    <w:p w:rsidR="000E601E" w:rsidRDefault="000E601E" w:rsidP="000E601E">
      <w:pPr>
        <w:tabs>
          <w:tab w:val="left" w:pos="-1440"/>
        </w:tabs>
        <w:snapToGrid w:val="0"/>
        <w:jc w:val="both"/>
        <w:rPr>
          <w:rFonts w:cs="Times New Roman"/>
        </w:rPr>
      </w:pPr>
    </w:p>
    <w:p w:rsidR="000E601E" w:rsidRDefault="000E601E" w:rsidP="000E601E">
      <w:pPr>
        <w:tabs>
          <w:tab w:val="left" w:pos="-1440"/>
        </w:tabs>
        <w:snapToGrid w:val="0"/>
        <w:jc w:val="both"/>
        <w:rPr>
          <w:rFonts w:cs="Times New Roman"/>
        </w:rPr>
      </w:pPr>
      <w:r>
        <w:rPr>
          <w:rFonts w:cs="Times New Roman"/>
        </w:rPr>
        <w:t xml:space="preserve">Enfin, elle </w:t>
      </w:r>
      <w:r w:rsidR="0038496E">
        <w:rPr>
          <w:rFonts w:cs="Times New Roman"/>
        </w:rPr>
        <w:t>postule</w:t>
      </w:r>
      <w:r>
        <w:rPr>
          <w:rFonts w:cs="Times New Roman"/>
        </w:rPr>
        <w:t xml:space="preserve"> qu’il soit réservé à statu</w:t>
      </w:r>
      <w:r w:rsidR="0038496E">
        <w:rPr>
          <w:rFonts w:cs="Times New Roman"/>
        </w:rPr>
        <w:t>er</w:t>
      </w:r>
      <w:r>
        <w:rPr>
          <w:rFonts w:cs="Times New Roman"/>
        </w:rPr>
        <w:t xml:space="preserve"> pour le surplus en ce compris les dépens.</w:t>
      </w:r>
    </w:p>
    <w:p w:rsidR="00266F03" w:rsidRDefault="00266F03" w:rsidP="004E314D">
      <w:pPr>
        <w:tabs>
          <w:tab w:val="left" w:pos="-1440"/>
        </w:tabs>
        <w:snapToGrid w:val="0"/>
        <w:jc w:val="both"/>
        <w:rPr>
          <w:rFonts w:cs="Times New Roman"/>
        </w:rPr>
      </w:pPr>
    </w:p>
    <w:p w:rsidR="00266F03" w:rsidRPr="004E314D" w:rsidRDefault="00266F03" w:rsidP="004E314D">
      <w:pPr>
        <w:tabs>
          <w:tab w:val="left" w:pos="-1440"/>
        </w:tabs>
        <w:snapToGrid w:val="0"/>
        <w:jc w:val="both"/>
        <w:rPr>
          <w:rFonts w:cs="Times New Roman"/>
        </w:rPr>
      </w:pPr>
    </w:p>
    <w:p w:rsidR="004E314D" w:rsidRPr="004E314D" w:rsidRDefault="004E314D" w:rsidP="004E314D">
      <w:pPr>
        <w:numPr>
          <w:ilvl w:val="0"/>
          <w:numId w:val="2"/>
        </w:numPr>
        <w:tabs>
          <w:tab w:val="left" w:pos="-1440"/>
        </w:tabs>
        <w:snapToGrid w:val="0"/>
        <w:jc w:val="both"/>
        <w:rPr>
          <w:rFonts w:cs="Times New Roman"/>
          <w:b/>
          <w:bCs/>
        </w:rPr>
      </w:pPr>
      <w:r w:rsidRPr="004E314D">
        <w:rPr>
          <w:rFonts w:cs="Times New Roman"/>
          <w:b/>
          <w:bCs/>
          <w:u w:val="single"/>
        </w:rPr>
        <w:t>DISCUSSION</w:t>
      </w:r>
      <w:r w:rsidRPr="004E314D">
        <w:rPr>
          <w:rFonts w:cs="Times New Roman"/>
          <w:b/>
          <w:bCs/>
        </w:rPr>
        <w:t> </w:t>
      </w:r>
    </w:p>
    <w:p w:rsidR="004E314D" w:rsidRPr="004E314D" w:rsidRDefault="004E314D" w:rsidP="004E314D">
      <w:pPr>
        <w:tabs>
          <w:tab w:val="left" w:pos="-1440"/>
        </w:tabs>
        <w:snapToGrid w:val="0"/>
        <w:jc w:val="both"/>
        <w:rPr>
          <w:rFonts w:cs="Times New Roman"/>
        </w:rPr>
      </w:pPr>
    </w:p>
    <w:p w:rsidR="007922C0" w:rsidRPr="008C2F8A" w:rsidRDefault="007922C0" w:rsidP="008C2F8A">
      <w:pPr>
        <w:pStyle w:val="Paragraphedeliste"/>
        <w:numPr>
          <w:ilvl w:val="0"/>
          <w:numId w:val="16"/>
        </w:numPr>
        <w:tabs>
          <w:tab w:val="left" w:pos="-1440"/>
        </w:tabs>
        <w:snapToGrid w:val="0"/>
        <w:jc w:val="both"/>
        <w:rPr>
          <w:rFonts w:cs="Times New Roman"/>
          <w:b/>
          <w:bCs/>
        </w:rPr>
      </w:pPr>
      <w:r w:rsidRPr="008C2F8A">
        <w:rPr>
          <w:rFonts w:cs="Times New Roman"/>
          <w:b/>
          <w:bCs/>
        </w:rPr>
        <w:t>La charge de la preuve.</w:t>
      </w:r>
    </w:p>
    <w:p w:rsidR="007922C0" w:rsidRDefault="007922C0" w:rsidP="007922C0">
      <w:pPr>
        <w:tabs>
          <w:tab w:val="left" w:pos="-1440"/>
        </w:tabs>
        <w:snapToGrid w:val="0"/>
        <w:jc w:val="both"/>
        <w:rPr>
          <w:rFonts w:cs="Times New Roman"/>
          <w:b/>
          <w:bCs/>
        </w:rPr>
      </w:pPr>
    </w:p>
    <w:p w:rsidR="007922C0" w:rsidRDefault="007922C0" w:rsidP="007922C0">
      <w:pPr>
        <w:tabs>
          <w:tab w:val="left" w:pos="-1440"/>
        </w:tabs>
        <w:snapToGrid w:val="0"/>
        <w:jc w:val="both"/>
        <w:rPr>
          <w:rFonts w:cs="Times New Roman"/>
        </w:rPr>
      </w:pPr>
      <w:r>
        <w:rPr>
          <w:rFonts w:eastAsia="Tahoma"/>
          <w:color w:val="000000"/>
          <w:spacing w:val="-1"/>
        </w:rPr>
        <w:t>E</w:t>
      </w:r>
      <w:r w:rsidRPr="003F7EDA">
        <w:rPr>
          <w:rFonts w:cs="Times New Roman"/>
        </w:rPr>
        <w:t>n vertu de l’article 870 du Code judiciaire, chacune des parties a la charge de prouver les faits qu’elle allègue</w:t>
      </w:r>
      <w:r>
        <w:rPr>
          <w:rFonts w:cs="Times New Roman"/>
        </w:rPr>
        <w:t>.</w:t>
      </w:r>
    </w:p>
    <w:p w:rsidR="007922C0" w:rsidRDefault="007922C0" w:rsidP="007922C0">
      <w:pPr>
        <w:tabs>
          <w:tab w:val="left" w:pos="-1440"/>
        </w:tabs>
        <w:snapToGrid w:val="0"/>
        <w:jc w:val="both"/>
        <w:rPr>
          <w:rFonts w:cs="Times New Roman"/>
        </w:rPr>
      </w:pPr>
    </w:p>
    <w:p w:rsidR="007922C0" w:rsidRPr="00CB2468" w:rsidRDefault="007922C0" w:rsidP="007922C0">
      <w:pPr>
        <w:tabs>
          <w:tab w:val="left" w:pos="-1440"/>
        </w:tabs>
        <w:snapToGrid w:val="0"/>
        <w:rPr>
          <w:rFonts w:cs="Times New Roman"/>
          <w:i/>
        </w:rPr>
      </w:pPr>
      <w:r>
        <w:rPr>
          <w:rFonts w:cs="Times New Roman"/>
        </w:rPr>
        <w:t>Par ailleurs, aux termes de l’article 8.4 de la loi du 13 avril 2019, instaurant le livre VIII consacré à la charge de la preuve : « </w:t>
      </w:r>
      <w:r w:rsidRPr="002A39A9">
        <w:rPr>
          <w:bCs/>
          <w:i/>
          <w:color w:val="000000"/>
        </w:rPr>
        <w:t> Celui qui veut faire valoir une prétention en justice doit prouver les actes juridiques ou faits qui la fondent.</w:t>
      </w:r>
      <w:r w:rsidRPr="002A39A9">
        <w:rPr>
          <w:bCs/>
          <w:i/>
          <w:color w:val="000000"/>
        </w:rPr>
        <w:br/>
        <w:t>  Celui qui se prétend libéré doit prouver les actes juridiques ou faits qui soutiennent sa prétention.</w:t>
      </w:r>
      <w:r w:rsidRPr="002A39A9">
        <w:rPr>
          <w:bCs/>
          <w:i/>
          <w:color w:val="000000"/>
        </w:rPr>
        <w:br/>
        <w:t>  Toutes les parties doivent collaborer à l'administration de la preuve.</w:t>
      </w:r>
      <w:r w:rsidRPr="002A39A9">
        <w:rPr>
          <w:bCs/>
          <w:i/>
          <w:color w:val="000000"/>
        </w:rPr>
        <w:br/>
        <w:t xml:space="preserve">  En cas de doute, celui qui a la charge de prouver les actes juridiques ou faits allégués </w:t>
      </w:r>
      <w:r w:rsidRPr="00CB2468">
        <w:rPr>
          <w:bCs/>
          <w:i/>
          <w:color w:val="000000"/>
        </w:rPr>
        <w:t>par lui succombe au procès, sauf si la loi en dispose autrement.</w:t>
      </w:r>
      <w:r w:rsidR="009B44CB" w:rsidRPr="00CB2468">
        <w:rPr>
          <w:bCs/>
          <w:i/>
          <w:color w:val="000000"/>
        </w:rPr>
        <w:t xml:space="preserve"> (…)</w:t>
      </w:r>
      <w:r w:rsidRPr="00CB2468">
        <w:rPr>
          <w:bCs/>
          <w:i/>
          <w:color w:val="000000"/>
        </w:rPr>
        <w:t>»</w:t>
      </w:r>
    </w:p>
    <w:p w:rsidR="007922C0" w:rsidRPr="00CB2468" w:rsidRDefault="007922C0" w:rsidP="007922C0">
      <w:pPr>
        <w:tabs>
          <w:tab w:val="left" w:pos="-1440"/>
        </w:tabs>
        <w:snapToGrid w:val="0"/>
        <w:jc w:val="both"/>
        <w:rPr>
          <w:rFonts w:cs="Times New Roman"/>
          <w:lang w:val="fr-FR"/>
        </w:rPr>
      </w:pPr>
    </w:p>
    <w:p w:rsidR="003E5F4D" w:rsidRPr="00CB2468" w:rsidRDefault="003E5F4D" w:rsidP="003E5F4D">
      <w:pPr>
        <w:pStyle w:val="Paragraphedeliste"/>
        <w:numPr>
          <w:ilvl w:val="0"/>
          <w:numId w:val="16"/>
        </w:numPr>
        <w:tabs>
          <w:tab w:val="left" w:pos="-1440"/>
        </w:tabs>
        <w:snapToGrid w:val="0"/>
        <w:jc w:val="both"/>
        <w:rPr>
          <w:rFonts w:cs="Times New Roman"/>
          <w:b/>
          <w:lang w:val="fr-FR"/>
        </w:rPr>
      </w:pPr>
      <w:r w:rsidRPr="00CB2468">
        <w:rPr>
          <w:rFonts w:cs="Times New Roman"/>
          <w:b/>
          <w:lang w:val="fr-FR"/>
        </w:rPr>
        <w:t>L’</w:t>
      </w:r>
      <w:r w:rsidR="00F16652" w:rsidRPr="00CB2468">
        <w:rPr>
          <w:rFonts w:cs="Times New Roman"/>
          <w:b/>
          <w:lang w:val="fr-FR"/>
        </w:rPr>
        <w:t>historique du dossier</w:t>
      </w:r>
      <w:r w:rsidRPr="00CB2468">
        <w:rPr>
          <w:rFonts w:cs="Times New Roman"/>
          <w:b/>
          <w:lang w:val="fr-FR"/>
        </w:rPr>
        <w:t>.</w:t>
      </w:r>
    </w:p>
    <w:p w:rsidR="00F16652" w:rsidRDefault="00F16652" w:rsidP="003E5F4D">
      <w:pPr>
        <w:tabs>
          <w:tab w:val="left" w:pos="-1440"/>
        </w:tabs>
        <w:snapToGrid w:val="0"/>
        <w:jc w:val="both"/>
        <w:rPr>
          <w:rFonts w:cs="Times New Roman"/>
          <w:lang w:val="fr-FR"/>
        </w:rPr>
      </w:pPr>
    </w:p>
    <w:p w:rsidR="00F16652" w:rsidRDefault="00F16652" w:rsidP="003E5F4D">
      <w:pPr>
        <w:tabs>
          <w:tab w:val="left" w:pos="-1440"/>
        </w:tabs>
        <w:snapToGrid w:val="0"/>
        <w:jc w:val="both"/>
        <w:rPr>
          <w:rFonts w:cs="Times New Roman"/>
          <w:lang w:val="fr-FR"/>
        </w:rPr>
      </w:pPr>
      <w:r>
        <w:rPr>
          <w:rFonts w:cs="Times New Roman"/>
          <w:lang w:val="fr-FR"/>
        </w:rPr>
        <w:t xml:space="preserve">En date du 10 octobre 1997, Monsieur </w:t>
      </w:r>
      <w:r w:rsidR="00B76F9C">
        <w:rPr>
          <w:rFonts w:cs="Times New Roman"/>
          <w:lang w:val="fr-FR"/>
        </w:rPr>
        <w:t>R.</w:t>
      </w:r>
      <w:r>
        <w:rPr>
          <w:rFonts w:cs="Times New Roman"/>
          <w:lang w:val="fr-FR"/>
        </w:rPr>
        <w:t xml:space="preserve"> </w:t>
      </w:r>
      <w:r w:rsidR="0038496E">
        <w:rPr>
          <w:rFonts w:cs="Times New Roman"/>
          <w:lang w:val="fr-FR"/>
        </w:rPr>
        <w:t>formula</w:t>
      </w:r>
      <w:r>
        <w:rPr>
          <w:rFonts w:cs="Times New Roman"/>
          <w:lang w:val="fr-FR"/>
        </w:rPr>
        <w:t xml:space="preserve"> une première demande afin d’obtenir la reconnaissance d’une maladie professionnelle reprise sous le code 1.603, à savoir une hypoacousie ou une surdité provoquée par le bruit.</w:t>
      </w:r>
    </w:p>
    <w:p w:rsidR="00F16652" w:rsidRDefault="00F16652" w:rsidP="003E5F4D">
      <w:pPr>
        <w:tabs>
          <w:tab w:val="left" w:pos="-1440"/>
        </w:tabs>
        <w:snapToGrid w:val="0"/>
        <w:jc w:val="both"/>
        <w:rPr>
          <w:rFonts w:cs="Times New Roman"/>
          <w:lang w:val="fr-FR"/>
        </w:rPr>
      </w:pPr>
    </w:p>
    <w:p w:rsidR="00F16652" w:rsidRDefault="00F16652" w:rsidP="003E5F4D">
      <w:pPr>
        <w:tabs>
          <w:tab w:val="left" w:pos="-1440"/>
        </w:tabs>
        <w:snapToGrid w:val="0"/>
        <w:jc w:val="both"/>
        <w:rPr>
          <w:rFonts w:cs="Times New Roman"/>
          <w:lang w:val="fr-FR"/>
        </w:rPr>
      </w:pPr>
      <w:r>
        <w:rPr>
          <w:rFonts w:cs="Times New Roman"/>
          <w:lang w:val="fr-FR"/>
        </w:rPr>
        <w:t>Une décision de rejet fut prise par FEDRIS, en date du 15 mai 1998.</w:t>
      </w:r>
    </w:p>
    <w:p w:rsidR="00F16652" w:rsidRDefault="00F16652" w:rsidP="003E5F4D">
      <w:pPr>
        <w:tabs>
          <w:tab w:val="left" w:pos="-1440"/>
        </w:tabs>
        <w:snapToGrid w:val="0"/>
        <w:jc w:val="both"/>
        <w:rPr>
          <w:rFonts w:cs="Times New Roman"/>
          <w:lang w:val="fr-FR"/>
        </w:rPr>
      </w:pPr>
    </w:p>
    <w:p w:rsidR="00F16652" w:rsidRDefault="00F16652" w:rsidP="003E5F4D">
      <w:pPr>
        <w:tabs>
          <w:tab w:val="left" w:pos="-1440"/>
        </w:tabs>
        <w:snapToGrid w:val="0"/>
        <w:jc w:val="both"/>
        <w:rPr>
          <w:rFonts w:cs="Times New Roman"/>
          <w:lang w:val="fr-FR"/>
        </w:rPr>
      </w:pPr>
      <w:r>
        <w:rPr>
          <w:rFonts w:cs="Times New Roman"/>
          <w:lang w:val="fr-FR"/>
        </w:rPr>
        <w:t xml:space="preserve">Le 8 mai 2018, Monsieur </w:t>
      </w:r>
      <w:r w:rsidR="00B76F9C">
        <w:rPr>
          <w:rFonts w:cs="Times New Roman"/>
          <w:lang w:val="fr-FR"/>
        </w:rPr>
        <w:t>R.</w:t>
      </w:r>
      <w:r>
        <w:rPr>
          <w:rFonts w:cs="Times New Roman"/>
          <w:lang w:val="fr-FR"/>
        </w:rPr>
        <w:t xml:space="preserve"> introdui</w:t>
      </w:r>
      <w:r w:rsidR="0038496E">
        <w:rPr>
          <w:rFonts w:cs="Times New Roman"/>
          <w:lang w:val="fr-FR"/>
        </w:rPr>
        <w:t>si</w:t>
      </w:r>
      <w:r>
        <w:rPr>
          <w:rFonts w:cs="Times New Roman"/>
          <w:lang w:val="fr-FR"/>
        </w:rPr>
        <w:t>t une nouvelle demande pour ladite pathologie.</w:t>
      </w:r>
    </w:p>
    <w:p w:rsidR="00F16652" w:rsidRDefault="00F16652" w:rsidP="003E5F4D">
      <w:pPr>
        <w:tabs>
          <w:tab w:val="left" w:pos="-1440"/>
        </w:tabs>
        <w:snapToGrid w:val="0"/>
        <w:jc w:val="both"/>
        <w:rPr>
          <w:rFonts w:cs="Times New Roman"/>
          <w:lang w:val="fr-FR"/>
        </w:rPr>
      </w:pPr>
    </w:p>
    <w:p w:rsidR="00F16652" w:rsidRDefault="00F16652" w:rsidP="003E5F4D">
      <w:pPr>
        <w:tabs>
          <w:tab w:val="left" w:pos="-1440"/>
        </w:tabs>
        <w:snapToGrid w:val="0"/>
        <w:jc w:val="both"/>
        <w:rPr>
          <w:rFonts w:cs="Times New Roman"/>
          <w:lang w:val="fr-FR"/>
        </w:rPr>
      </w:pPr>
      <w:r>
        <w:rPr>
          <w:rFonts w:cs="Times New Roman"/>
          <w:lang w:val="fr-FR"/>
        </w:rPr>
        <w:t>Par décision d</w:t>
      </w:r>
      <w:r w:rsidR="0038496E">
        <w:rPr>
          <w:rFonts w:cs="Times New Roman"/>
          <w:lang w:val="fr-FR"/>
        </w:rPr>
        <w:t>atée d</w:t>
      </w:r>
      <w:r>
        <w:rPr>
          <w:rFonts w:cs="Times New Roman"/>
          <w:lang w:val="fr-FR"/>
        </w:rPr>
        <w:t xml:space="preserve">u 8 octobre 2018, la demande </w:t>
      </w:r>
      <w:r w:rsidR="00960171">
        <w:rPr>
          <w:rFonts w:cs="Times New Roman"/>
          <w:lang w:val="fr-FR"/>
        </w:rPr>
        <w:t>fut</w:t>
      </w:r>
      <w:r>
        <w:rPr>
          <w:rFonts w:cs="Times New Roman"/>
          <w:lang w:val="fr-FR"/>
        </w:rPr>
        <w:t xml:space="preserve"> déclarée fondée et un taux d’incapacité de 6 % à partir du 8 janvier 2018 fut accordé.</w:t>
      </w:r>
    </w:p>
    <w:p w:rsidR="00F16652" w:rsidRDefault="00F16652" w:rsidP="003E5F4D">
      <w:pPr>
        <w:tabs>
          <w:tab w:val="left" w:pos="-1440"/>
        </w:tabs>
        <w:snapToGrid w:val="0"/>
        <w:jc w:val="both"/>
        <w:rPr>
          <w:rFonts w:cs="Times New Roman"/>
          <w:lang w:val="fr-FR"/>
        </w:rPr>
      </w:pPr>
    </w:p>
    <w:p w:rsidR="00F16652" w:rsidRDefault="00F16652" w:rsidP="003E5F4D">
      <w:pPr>
        <w:tabs>
          <w:tab w:val="left" w:pos="-1440"/>
        </w:tabs>
        <w:snapToGrid w:val="0"/>
        <w:jc w:val="both"/>
        <w:rPr>
          <w:rFonts w:cs="Times New Roman"/>
          <w:lang w:val="fr-FR"/>
        </w:rPr>
      </w:pPr>
      <w:r>
        <w:rPr>
          <w:rFonts w:cs="Times New Roman"/>
          <w:lang w:val="fr-FR"/>
        </w:rPr>
        <w:t xml:space="preserve">Le 9 mai 2019, Monsieur </w:t>
      </w:r>
      <w:r w:rsidR="00B76F9C">
        <w:rPr>
          <w:rFonts w:cs="Times New Roman"/>
          <w:lang w:val="fr-FR"/>
        </w:rPr>
        <w:t>R.</w:t>
      </w:r>
      <w:r>
        <w:rPr>
          <w:rFonts w:cs="Times New Roman"/>
          <w:lang w:val="fr-FR"/>
        </w:rPr>
        <w:t xml:space="preserve"> a introduit une demande en révision.  En effet, il précisait souffrir d’acouphènes.</w:t>
      </w:r>
    </w:p>
    <w:p w:rsidR="00F16652" w:rsidRDefault="00F16652" w:rsidP="003E5F4D">
      <w:pPr>
        <w:tabs>
          <w:tab w:val="left" w:pos="-1440"/>
        </w:tabs>
        <w:snapToGrid w:val="0"/>
        <w:jc w:val="both"/>
        <w:rPr>
          <w:rFonts w:cs="Times New Roman"/>
          <w:lang w:val="fr-FR"/>
        </w:rPr>
      </w:pPr>
    </w:p>
    <w:p w:rsidR="00F16652" w:rsidRDefault="00F16652" w:rsidP="003E5F4D">
      <w:pPr>
        <w:tabs>
          <w:tab w:val="left" w:pos="-1440"/>
        </w:tabs>
        <w:snapToGrid w:val="0"/>
        <w:jc w:val="both"/>
        <w:rPr>
          <w:rFonts w:cs="Times New Roman"/>
          <w:lang w:val="fr-FR"/>
        </w:rPr>
      </w:pPr>
      <w:r>
        <w:rPr>
          <w:rFonts w:cs="Times New Roman"/>
          <w:lang w:val="fr-FR"/>
        </w:rPr>
        <w:t>Par décision datée du 21 septembre 2020, FEDRIS maint</w:t>
      </w:r>
      <w:r w:rsidR="00960171">
        <w:rPr>
          <w:rFonts w:cs="Times New Roman"/>
          <w:lang w:val="fr-FR"/>
        </w:rPr>
        <w:t>int</w:t>
      </w:r>
      <w:r>
        <w:rPr>
          <w:rFonts w:cs="Times New Roman"/>
          <w:lang w:val="fr-FR"/>
        </w:rPr>
        <w:t xml:space="preserve"> le taux d’incapacité permanente de 6 % ainsi que le remboursement des soins de santé jusqu’au 30 septembre 2020.</w:t>
      </w:r>
    </w:p>
    <w:p w:rsidR="00F16652" w:rsidRDefault="00F16652" w:rsidP="003E5F4D">
      <w:pPr>
        <w:tabs>
          <w:tab w:val="left" w:pos="-1440"/>
        </w:tabs>
        <w:snapToGrid w:val="0"/>
        <w:jc w:val="both"/>
        <w:rPr>
          <w:rFonts w:cs="Times New Roman"/>
          <w:lang w:val="fr-FR"/>
        </w:rPr>
      </w:pPr>
    </w:p>
    <w:p w:rsidR="00F16652" w:rsidRDefault="00F16652" w:rsidP="003E5F4D">
      <w:pPr>
        <w:tabs>
          <w:tab w:val="left" w:pos="-1440"/>
        </w:tabs>
        <w:snapToGrid w:val="0"/>
        <w:jc w:val="both"/>
        <w:rPr>
          <w:rFonts w:cs="Times New Roman"/>
          <w:lang w:val="fr-FR"/>
        </w:rPr>
      </w:pPr>
      <w:r>
        <w:rPr>
          <w:rFonts w:cs="Times New Roman"/>
          <w:lang w:val="fr-FR"/>
        </w:rPr>
        <w:t>C’est la décision litigieuse.</w:t>
      </w:r>
    </w:p>
    <w:p w:rsidR="00F16652" w:rsidRDefault="00F16652" w:rsidP="003E5F4D">
      <w:pPr>
        <w:tabs>
          <w:tab w:val="left" w:pos="-1440"/>
        </w:tabs>
        <w:snapToGrid w:val="0"/>
        <w:jc w:val="both"/>
        <w:rPr>
          <w:rFonts w:cs="Times New Roman"/>
          <w:lang w:val="fr-FR"/>
        </w:rPr>
      </w:pPr>
    </w:p>
    <w:p w:rsidR="00F16652" w:rsidRPr="00F16652" w:rsidRDefault="00F16652" w:rsidP="00F16652">
      <w:pPr>
        <w:pStyle w:val="Paragraphedeliste"/>
        <w:numPr>
          <w:ilvl w:val="0"/>
          <w:numId w:val="16"/>
        </w:numPr>
        <w:tabs>
          <w:tab w:val="left" w:pos="-1440"/>
        </w:tabs>
        <w:snapToGrid w:val="0"/>
        <w:jc w:val="both"/>
        <w:rPr>
          <w:rFonts w:cs="Times New Roman"/>
          <w:b/>
          <w:lang w:val="fr-FR"/>
        </w:rPr>
      </w:pPr>
      <w:r>
        <w:rPr>
          <w:rFonts w:cs="Times New Roman"/>
          <w:b/>
          <w:lang w:val="fr-FR"/>
        </w:rPr>
        <w:t>La demande en aggravation.</w:t>
      </w:r>
    </w:p>
    <w:p w:rsidR="00F16652" w:rsidRDefault="00F16652" w:rsidP="003E5F4D">
      <w:pPr>
        <w:tabs>
          <w:tab w:val="left" w:pos="-1440"/>
        </w:tabs>
        <w:snapToGrid w:val="0"/>
        <w:jc w:val="both"/>
        <w:rPr>
          <w:rFonts w:cs="Times New Roman"/>
          <w:lang w:val="fr-FR"/>
        </w:rPr>
      </w:pPr>
    </w:p>
    <w:p w:rsidR="00CB2468" w:rsidRDefault="00CB2468" w:rsidP="003E5F4D">
      <w:pPr>
        <w:tabs>
          <w:tab w:val="left" w:pos="-1440"/>
        </w:tabs>
        <w:snapToGrid w:val="0"/>
        <w:jc w:val="both"/>
        <w:rPr>
          <w:rFonts w:cs="Times New Roman"/>
          <w:lang w:val="fr-FR"/>
        </w:rPr>
      </w:pPr>
      <w:r>
        <w:rPr>
          <w:rFonts w:cs="Times New Roman"/>
          <w:lang w:val="fr-FR"/>
        </w:rPr>
        <w:t>L’exposition au risque professionnel n’est pas contestée.</w:t>
      </w:r>
    </w:p>
    <w:p w:rsidR="00CB2468" w:rsidRDefault="00CB2468" w:rsidP="003E5F4D">
      <w:pPr>
        <w:tabs>
          <w:tab w:val="left" w:pos="-1440"/>
        </w:tabs>
        <w:snapToGrid w:val="0"/>
        <w:jc w:val="both"/>
        <w:rPr>
          <w:rFonts w:cs="Times New Roman"/>
          <w:lang w:val="fr-FR"/>
        </w:rPr>
      </w:pPr>
      <w:r>
        <w:rPr>
          <w:rFonts w:cs="Times New Roman"/>
          <w:lang w:val="fr-FR"/>
        </w:rPr>
        <w:t>En ce qui concerne l’atteinte, les parties s’opposent médicalement sur l’existence d’une incapacité indemnisable.</w:t>
      </w:r>
    </w:p>
    <w:p w:rsidR="00CB2468" w:rsidRDefault="00CB2468" w:rsidP="003E5F4D">
      <w:pPr>
        <w:tabs>
          <w:tab w:val="left" w:pos="-1440"/>
        </w:tabs>
        <w:snapToGrid w:val="0"/>
        <w:jc w:val="both"/>
        <w:rPr>
          <w:rFonts w:cs="Times New Roman"/>
          <w:lang w:val="fr-FR"/>
        </w:rPr>
      </w:pPr>
    </w:p>
    <w:p w:rsidR="00CB2468" w:rsidRDefault="00CB2468" w:rsidP="003E5F4D">
      <w:pPr>
        <w:tabs>
          <w:tab w:val="left" w:pos="-1440"/>
        </w:tabs>
        <w:snapToGrid w:val="0"/>
        <w:jc w:val="both"/>
        <w:rPr>
          <w:rFonts w:cs="Times New Roman"/>
          <w:lang w:val="fr-FR"/>
        </w:rPr>
      </w:pPr>
      <w:r>
        <w:rPr>
          <w:rFonts w:cs="Times New Roman"/>
          <w:lang w:val="fr-FR"/>
        </w:rPr>
        <w:t>En effet, d’une part, les conséquences de la maladie de Ménière sont évoquées</w:t>
      </w:r>
      <w:r w:rsidR="00960171">
        <w:rPr>
          <w:rFonts w:cs="Times New Roman"/>
          <w:lang w:val="fr-FR"/>
        </w:rPr>
        <w:t xml:space="preserve"> et elles sont contraires dans le chef de chacune des parties</w:t>
      </w:r>
      <w:r>
        <w:rPr>
          <w:rFonts w:cs="Times New Roman"/>
          <w:lang w:val="fr-FR"/>
        </w:rPr>
        <w:t>.</w:t>
      </w:r>
    </w:p>
    <w:p w:rsidR="00CB2468" w:rsidRDefault="00CB2468" w:rsidP="003E5F4D">
      <w:pPr>
        <w:tabs>
          <w:tab w:val="left" w:pos="-1440"/>
        </w:tabs>
        <w:snapToGrid w:val="0"/>
        <w:jc w:val="both"/>
        <w:rPr>
          <w:rFonts w:cs="Times New Roman"/>
          <w:lang w:val="fr-FR"/>
        </w:rPr>
      </w:pPr>
    </w:p>
    <w:p w:rsidR="00CB2468" w:rsidRPr="00CB2468" w:rsidRDefault="00CB2468" w:rsidP="003E5F4D">
      <w:pPr>
        <w:tabs>
          <w:tab w:val="left" w:pos="-1440"/>
        </w:tabs>
        <w:snapToGrid w:val="0"/>
        <w:jc w:val="both"/>
        <w:rPr>
          <w:rFonts w:cs="Times New Roman"/>
          <w:i/>
          <w:lang w:val="fr-FR"/>
        </w:rPr>
      </w:pPr>
      <w:r>
        <w:rPr>
          <w:rFonts w:cs="Times New Roman"/>
          <w:lang w:val="fr-FR"/>
        </w:rPr>
        <w:t>Par ailleurs, les tests audio réalisés par FEDRIS font état « </w:t>
      </w:r>
      <w:r w:rsidRPr="00CB2468">
        <w:rPr>
          <w:rFonts w:cs="Times New Roman"/>
          <w:i/>
          <w:lang w:val="fr-FR"/>
        </w:rPr>
        <w:t xml:space="preserve">d’une diminution de </w:t>
      </w:r>
      <w:r>
        <w:rPr>
          <w:rFonts w:cs="Times New Roman"/>
          <w:i/>
          <w:lang w:val="fr-FR"/>
        </w:rPr>
        <w:t>l’acuité auditive de 75 dB à droite et de 100 dB pour 4000 Hz donc supérieure à celle attendue en moyenne pour l’âge (= 73 dB pour 4000 Hz à 72 ans et 6 mois).</w:t>
      </w:r>
    </w:p>
    <w:p w:rsidR="00CB2468" w:rsidRDefault="00CB2468" w:rsidP="003E5F4D">
      <w:pPr>
        <w:tabs>
          <w:tab w:val="left" w:pos="-1440"/>
        </w:tabs>
        <w:snapToGrid w:val="0"/>
        <w:jc w:val="both"/>
        <w:rPr>
          <w:rFonts w:cs="Times New Roman"/>
          <w:lang w:val="fr-FR"/>
        </w:rPr>
      </w:pPr>
    </w:p>
    <w:p w:rsidR="00CB2468" w:rsidRPr="00CB2468" w:rsidRDefault="00CB2468" w:rsidP="003E5F4D">
      <w:pPr>
        <w:tabs>
          <w:tab w:val="left" w:pos="-1440"/>
        </w:tabs>
        <w:snapToGrid w:val="0"/>
        <w:jc w:val="both"/>
        <w:rPr>
          <w:rFonts w:cs="Times New Roman"/>
          <w:i/>
          <w:lang w:val="fr-FR"/>
        </w:rPr>
      </w:pPr>
      <w:r>
        <w:rPr>
          <w:rFonts w:cs="Times New Roman"/>
          <w:lang w:val="fr-FR"/>
        </w:rPr>
        <w:t>Par contre, les tests ASSR concluent à « </w:t>
      </w:r>
      <w:r>
        <w:rPr>
          <w:rFonts w:cs="Times New Roman"/>
          <w:i/>
          <w:lang w:val="fr-FR"/>
        </w:rPr>
        <w:t xml:space="preserve">une diminution de l’acuité auditive de </w:t>
      </w:r>
      <w:r>
        <w:rPr>
          <w:rFonts w:cs="Times New Roman"/>
          <w:b/>
          <w:i/>
          <w:lang w:val="fr-FR"/>
        </w:rPr>
        <w:t xml:space="preserve">60 dB à droite </w:t>
      </w:r>
      <w:r>
        <w:rPr>
          <w:rFonts w:cs="Times New Roman"/>
          <w:i/>
          <w:lang w:val="fr-FR"/>
        </w:rPr>
        <w:t xml:space="preserve"> et 85 dB pour 4000 Hz dont inférieure à celle attendue en moyenne pour l’âge à droite (= </w:t>
      </w:r>
      <w:r>
        <w:rPr>
          <w:rFonts w:cs="Times New Roman"/>
          <w:b/>
          <w:i/>
          <w:lang w:val="fr-FR"/>
        </w:rPr>
        <w:t xml:space="preserve">73 db </w:t>
      </w:r>
      <w:r>
        <w:rPr>
          <w:rFonts w:cs="Times New Roman"/>
          <w:i/>
          <w:lang w:val="fr-FR"/>
        </w:rPr>
        <w:t>pour 4000 Hz à 72 ans et 6 mois).</w:t>
      </w:r>
    </w:p>
    <w:p w:rsidR="00CB2468" w:rsidRDefault="00CB2468" w:rsidP="003E5F4D">
      <w:pPr>
        <w:tabs>
          <w:tab w:val="left" w:pos="-1440"/>
        </w:tabs>
        <w:snapToGrid w:val="0"/>
        <w:jc w:val="both"/>
        <w:rPr>
          <w:rFonts w:cs="Times New Roman"/>
          <w:lang w:val="fr-FR"/>
        </w:rPr>
      </w:pPr>
    </w:p>
    <w:p w:rsidR="00F63794" w:rsidRDefault="00F63794" w:rsidP="003E5F4D">
      <w:pPr>
        <w:tabs>
          <w:tab w:val="left" w:pos="-1440"/>
        </w:tabs>
        <w:snapToGrid w:val="0"/>
        <w:jc w:val="both"/>
        <w:rPr>
          <w:rFonts w:cs="Times New Roman"/>
          <w:lang w:val="fr-FR"/>
        </w:rPr>
      </w:pPr>
    </w:p>
    <w:p w:rsidR="003E5F4D" w:rsidRDefault="00CB2468" w:rsidP="003E5F4D">
      <w:pPr>
        <w:tabs>
          <w:tab w:val="left" w:pos="-1440"/>
        </w:tabs>
        <w:snapToGrid w:val="0"/>
        <w:jc w:val="both"/>
        <w:rPr>
          <w:rFonts w:cs="Times New Roman"/>
          <w:lang w:val="fr-FR"/>
        </w:rPr>
      </w:pPr>
      <w:r>
        <w:rPr>
          <w:rFonts w:cs="Times New Roman"/>
          <w:lang w:val="fr-FR"/>
        </w:rPr>
        <w:t xml:space="preserve">Sur base de ces éléments, </w:t>
      </w:r>
      <w:r w:rsidR="003E5F4D" w:rsidRPr="00FC0FE3">
        <w:rPr>
          <w:rFonts w:cs="Times New Roman"/>
          <w:lang w:val="fr-FR"/>
        </w:rPr>
        <w:t>le tribunal estime qu</w:t>
      </w:r>
      <w:r w:rsidR="00CA77CF">
        <w:rPr>
          <w:rFonts w:cs="Times New Roman"/>
          <w:lang w:val="fr-FR"/>
        </w:rPr>
        <w:t>e la partie demanderesse apporte un</w:t>
      </w:r>
      <w:r w:rsidR="003E5F4D" w:rsidRPr="00FC0FE3">
        <w:rPr>
          <w:rFonts w:cs="Times New Roman"/>
          <w:lang w:val="fr-FR"/>
        </w:rPr>
        <w:t xml:space="preserve"> commencement de preuve de l’existence d’une aggravation.</w:t>
      </w:r>
    </w:p>
    <w:p w:rsidR="003E5F4D" w:rsidRPr="003A03EA" w:rsidRDefault="003E5F4D" w:rsidP="003E5F4D">
      <w:pPr>
        <w:tabs>
          <w:tab w:val="left" w:pos="-1440"/>
        </w:tabs>
        <w:snapToGrid w:val="0"/>
        <w:jc w:val="both"/>
        <w:rPr>
          <w:rFonts w:cs="Times New Roman"/>
          <w:lang w:val="fr-FR"/>
        </w:rPr>
      </w:pPr>
    </w:p>
    <w:p w:rsidR="003E5F4D" w:rsidRPr="003A03EA" w:rsidRDefault="003E5F4D" w:rsidP="003E5F4D">
      <w:pPr>
        <w:tabs>
          <w:tab w:val="left" w:pos="-1440"/>
        </w:tabs>
        <w:snapToGrid w:val="0"/>
        <w:jc w:val="both"/>
        <w:rPr>
          <w:rFonts w:cs="Times New Roman"/>
          <w:lang w:val="fr-FR"/>
        </w:rPr>
      </w:pPr>
      <w:r w:rsidRPr="003A03EA">
        <w:rPr>
          <w:rFonts w:cs="Times New Roman"/>
          <w:lang w:val="fr-FR"/>
        </w:rPr>
        <w:t>L’expertise judiciaire est un mode légal de preuve (voir notamment C</w:t>
      </w:r>
      <w:r>
        <w:rPr>
          <w:rFonts w:cs="Times New Roman"/>
          <w:lang w:val="fr-FR"/>
        </w:rPr>
        <w:t>. trav.</w:t>
      </w:r>
      <w:r w:rsidRPr="003A03EA">
        <w:rPr>
          <w:rFonts w:cs="Times New Roman"/>
          <w:lang w:val="fr-FR"/>
        </w:rPr>
        <w:t xml:space="preserve"> Liège, 9</w:t>
      </w:r>
      <w:r w:rsidRPr="003A03EA">
        <w:rPr>
          <w:rFonts w:cs="Times New Roman"/>
          <w:vertAlign w:val="superscript"/>
          <w:lang w:val="fr-FR"/>
        </w:rPr>
        <w:t>e</w:t>
      </w:r>
      <w:r w:rsidRPr="003A03EA">
        <w:rPr>
          <w:rFonts w:cs="Times New Roman"/>
          <w:lang w:val="fr-FR"/>
        </w:rPr>
        <w:t xml:space="preserve"> chambre, 5</w:t>
      </w:r>
      <w:r>
        <w:rPr>
          <w:rFonts w:cs="Times New Roman"/>
          <w:lang w:val="fr-FR"/>
        </w:rPr>
        <w:t xml:space="preserve"> janvier </w:t>
      </w:r>
      <w:r w:rsidRPr="003A03EA">
        <w:rPr>
          <w:rFonts w:cs="Times New Roman"/>
          <w:lang w:val="fr-FR"/>
        </w:rPr>
        <w:t xml:space="preserve">2009, RG 35.061/08, publié sur </w:t>
      </w:r>
      <w:hyperlink r:id="rId10" w:history="1">
        <w:r w:rsidRPr="00A55E65">
          <w:rPr>
            <w:rStyle w:val="Lienhypertexte"/>
            <w:rFonts w:cs="Times New Roman"/>
            <w:bCs/>
            <w:lang w:val="fr-FR"/>
          </w:rPr>
          <w:t>www.juportal.be</w:t>
        </w:r>
      </w:hyperlink>
      <w:r w:rsidRPr="003A03EA">
        <w:rPr>
          <w:rFonts w:cs="Times New Roman"/>
          <w:lang w:val="fr-FR"/>
        </w:rPr>
        <w:t>).</w:t>
      </w:r>
    </w:p>
    <w:p w:rsidR="003E5F4D" w:rsidRPr="003A03EA" w:rsidRDefault="003E5F4D" w:rsidP="003E5F4D">
      <w:pPr>
        <w:tabs>
          <w:tab w:val="left" w:pos="-1440"/>
        </w:tabs>
        <w:snapToGrid w:val="0"/>
        <w:jc w:val="both"/>
        <w:rPr>
          <w:rFonts w:cs="Times New Roman"/>
          <w:lang w:val="fr-FR"/>
        </w:rPr>
      </w:pPr>
    </w:p>
    <w:p w:rsidR="003E5F4D" w:rsidRPr="00CB2468" w:rsidRDefault="003E5F4D" w:rsidP="003E5F4D">
      <w:pPr>
        <w:tabs>
          <w:tab w:val="left" w:pos="-1440"/>
        </w:tabs>
        <w:snapToGrid w:val="0"/>
        <w:jc w:val="both"/>
        <w:rPr>
          <w:rFonts w:cs="Times New Roman"/>
          <w:bCs/>
          <w:u w:val="single"/>
          <w:lang w:val="fr-FR"/>
        </w:rPr>
      </w:pPr>
      <w:r>
        <w:rPr>
          <w:rFonts w:cs="Times New Roman"/>
          <w:bCs/>
          <w:lang w:val="fr-FR"/>
        </w:rPr>
        <w:t>Dès lors</w:t>
      </w:r>
      <w:r w:rsidRPr="003A03EA">
        <w:rPr>
          <w:rFonts w:cs="Times New Roman"/>
          <w:bCs/>
          <w:lang w:val="fr-FR"/>
        </w:rPr>
        <w:t>, il convient de déterminer si l’affection s’est aggravée</w:t>
      </w:r>
      <w:r>
        <w:rPr>
          <w:rFonts w:cs="Times New Roman"/>
          <w:bCs/>
          <w:lang w:val="fr-FR"/>
        </w:rPr>
        <w:t xml:space="preserve"> ou améliorée</w:t>
      </w:r>
      <w:r w:rsidRPr="003A03EA">
        <w:rPr>
          <w:rFonts w:cs="Times New Roman"/>
          <w:bCs/>
          <w:lang w:val="fr-FR"/>
        </w:rPr>
        <w:t xml:space="preserve"> par rapport à son état au jour où la partie demanderesse s’est vu reconnaître un taux d’incapacité p</w:t>
      </w:r>
      <w:r>
        <w:rPr>
          <w:rFonts w:cs="Times New Roman"/>
          <w:bCs/>
          <w:lang w:val="fr-FR"/>
        </w:rPr>
        <w:t xml:space="preserve">ermanente </w:t>
      </w:r>
      <w:r w:rsidRPr="009B44CB">
        <w:rPr>
          <w:rFonts w:cs="Times New Roman"/>
          <w:bCs/>
          <w:lang w:val="fr-FR"/>
        </w:rPr>
        <w:t xml:space="preserve">globale de </w:t>
      </w:r>
      <w:r w:rsidRPr="009B44CB">
        <w:rPr>
          <w:rFonts w:cs="Times New Roman"/>
          <w:b/>
          <w:bCs/>
          <w:lang w:val="fr-FR"/>
        </w:rPr>
        <w:t>06 %</w:t>
      </w:r>
      <w:r w:rsidRPr="003A03EA">
        <w:rPr>
          <w:rFonts w:cs="Times New Roman"/>
          <w:bCs/>
          <w:lang w:val="fr-FR"/>
        </w:rPr>
        <w:t xml:space="preserve"> (</w:t>
      </w:r>
      <w:r w:rsidRPr="0025253A">
        <w:rPr>
          <w:rFonts w:cs="Times New Roman"/>
          <w:b/>
          <w:bCs/>
          <w:lang w:val="fr-FR"/>
        </w:rPr>
        <w:t>0</w:t>
      </w:r>
      <w:r>
        <w:rPr>
          <w:rFonts w:cs="Times New Roman"/>
          <w:b/>
          <w:bCs/>
          <w:lang w:val="fr-FR"/>
        </w:rPr>
        <w:t>6</w:t>
      </w:r>
      <w:r w:rsidRPr="0025253A">
        <w:rPr>
          <w:rFonts w:cs="Times New Roman"/>
          <w:b/>
          <w:bCs/>
          <w:lang w:val="fr-FR"/>
        </w:rPr>
        <w:t>%</w:t>
      </w:r>
      <w:r w:rsidRPr="003A03EA">
        <w:rPr>
          <w:rFonts w:cs="Times New Roman"/>
          <w:bCs/>
          <w:lang w:val="fr-FR"/>
        </w:rPr>
        <w:t xml:space="preserve"> au plan physique augmentés de </w:t>
      </w:r>
      <w:r w:rsidRPr="0025253A">
        <w:rPr>
          <w:rFonts w:cs="Times New Roman"/>
          <w:b/>
          <w:bCs/>
          <w:lang w:val="fr-FR"/>
        </w:rPr>
        <w:t>0%</w:t>
      </w:r>
      <w:r w:rsidRPr="003A03EA">
        <w:rPr>
          <w:rFonts w:cs="Times New Roman"/>
          <w:bCs/>
          <w:lang w:val="fr-FR"/>
        </w:rPr>
        <w:t xml:space="preserve"> de facteurs socio-économiques)</w:t>
      </w:r>
      <w:r w:rsidR="00CB2468">
        <w:rPr>
          <w:rFonts w:cs="Times New Roman"/>
          <w:bCs/>
          <w:lang w:val="fr-FR"/>
        </w:rPr>
        <w:t xml:space="preserve"> à partir du </w:t>
      </w:r>
      <w:r w:rsidR="00CB2468">
        <w:rPr>
          <w:rFonts w:cs="Times New Roman"/>
          <w:b/>
          <w:bCs/>
          <w:lang w:val="fr-FR"/>
        </w:rPr>
        <w:t>8 janvier 2018</w:t>
      </w:r>
      <w:r w:rsidR="00CB2468">
        <w:rPr>
          <w:rFonts w:cs="Times New Roman"/>
          <w:bCs/>
          <w:lang w:val="fr-FR"/>
        </w:rPr>
        <w:t>.</w:t>
      </w:r>
    </w:p>
    <w:p w:rsidR="003E5F4D" w:rsidRPr="003A03EA" w:rsidRDefault="003E5F4D" w:rsidP="003E5F4D">
      <w:pPr>
        <w:tabs>
          <w:tab w:val="left" w:pos="-1440"/>
        </w:tabs>
        <w:snapToGrid w:val="0"/>
        <w:jc w:val="both"/>
        <w:rPr>
          <w:rFonts w:cs="Times New Roman"/>
          <w:lang w:val="fr-FR"/>
        </w:rPr>
      </w:pPr>
    </w:p>
    <w:p w:rsidR="003E5F4D" w:rsidRPr="003A03EA" w:rsidRDefault="003E5F4D" w:rsidP="003E5F4D">
      <w:pPr>
        <w:tabs>
          <w:tab w:val="left" w:pos="-1440"/>
        </w:tabs>
        <w:snapToGrid w:val="0"/>
        <w:jc w:val="both"/>
        <w:rPr>
          <w:rFonts w:cs="Times New Roman"/>
          <w:lang w:val="fr-FR"/>
        </w:rPr>
      </w:pPr>
      <w:r w:rsidRPr="003A03EA">
        <w:rPr>
          <w:rFonts w:cs="Times New Roman"/>
          <w:lang w:val="fr-FR"/>
        </w:rPr>
        <w:t xml:space="preserve">Le litige est avant tout </w:t>
      </w:r>
      <w:r w:rsidRPr="003A03EA">
        <w:rPr>
          <w:rFonts w:cs="Times New Roman"/>
          <w:u w:val="single"/>
          <w:lang w:val="fr-FR"/>
        </w:rPr>
        <w:t>d’ordre médical</w:t>
      </w:r>
      <w:r w:rsidRPr="003A03EA">
        <w:rPr>
          <w:rFonts w:cs="Times New Roman"/>
          <w:lang w:val="fr-FR"/>
        </w:rPr>
        <w:t xml:space="preserve"> et le tribunal ne possède pas les connaissances scientifiques et techniques lui permettant d’apprécier le bien-fondé des prétentions de la partie demanderesse telles qu’appuyées par son médecin conseil.</w:t>
      </w:r>
    </w:p>
    <w:p w:rsidR="003E5F4D" w:rsidRPr="003A03EA" w:rsidRDefault="003E5F4D" w:rsidP="003E5F4D">
      <w:pPr>
        <w:tabs>
          <w:tab w:val="left" w:pos="-1440"/>
        </w:tabs>
        <w:snapToGrid w:val="0"/>
        <w:jc w:val="both"/>
        <w:rPr>
          <w:rFonts w:cs="Times New Roman"/>
          <w:lang w:val="fr-FR"/>
        </w:rPr>
      </w:pPr>
    </w:p>
    <w:p w:rsidR="003E5F4D" w:rsidRPr="003A03EA" w:rsidRDefault="003E5F4D" w:rsidP="003E5F4D">
      <w:pPr>
        <w:tabs>
          <w:tab w:val="left" w:pos="-1440"/>
        </w:tabs>
        <w:snapToGrid w:val="0"/>
        <w:jc w:val="both"/>
        <w:rPr>
          <w:rFonts w:cs="Times New Roman"/>
          <w:lang w:val="fr-FR"/>
        </w:rPr>
      </w:pPr>
      <w:r w:rsidRPr="003A03EA">
        <w:rPr>
          <w:rFonts w:cs="Times New Roman"/>
          <w:lang w:val="fr-FR"/>
        </w:rPr>
        <w:t xml:space="preserve">En conséquence, il y a lieu de désigner un expert médecin avec la </w:t>
      </w:r>
      <w:r w:rsidRPr="003A03EA">
        <w:rPr>
          <w:rFonts w:cs="Times New Roman"/>
          <w:b/>
          <w:bCs/>
          <w:lang w:val="fr-FR"/>
        </w:rPr>
        <w:t>mission</w:t>
      </w:r>
      <w:r w:rsidRPr="003A03EA">
        <w:rPr>
          <w:rFonts w:cs="Times New Roman"/>
          <w:lang w:val="fr-FR"/>
        </w:rPr>
        <w:t xml:space="preserve"> telle que précisée au dispositif du présent jugement.</w:t>
      </w:r>
    </w:p>
    <w:p w:rsidR="003E5F4D" w:rsidRPr="003A03EA" w:rsidRDefault="003E5F4D" w:rsidP="003E5F4D">
      <w:pPr>
        <w:tabs>
          <w:tab w:val="left" w:pos="-1440"/>
        </w:tabs>
        <w:snapToGrid w:val="0"/>
        <w:jc w:val="both"/>
        <w:rPr>
          <w:rFonts w:cs="Times New Roman"/>
          <w:b/>
          <w:bCs/>
          <w:u w:val="single"/>
          <w:lang w:val="fr-FR"/>
        </w:rPr>
      </w:pPr>
    </w:p>
    <w:p w:rsidR="003E5F4D" w:rsidRPr="003A03EA" w:rsidRDefault="003E5F4D" w:rsidP="003E5F4D">
      <w:pPr>
        <w:tabs>
          <w:tab w:val="left" w:pos="-1440"/>
        </w:tabs>
        <w:snapToGrid w:val="0"/>
        <w:jc w:val="both"/>
        <w:rPr>
          <w:rFonts w:cs="Times New Roman"/>
          <w:i/>
          <w:iCs/>
          <w:lang w:val="fr-FR"/>
        </w:rPr>
      </w:pPr>
      <w:r w:rsidRPr="003A03EA">
        <w:rPr>
          <w:rFonts w:cs="Times New Roman"/>
          <w:lang w:val="fr-FR"/>
        </w:rPr>
        <w:t>Le tribunal attire particulièrement l’attention des parties sur l’article 976 du Code judiciaire</w:t>
      </w:r>
      <w:r>
        <w:rPr>
          <w:rFonts w:cs="Times New Roman"/>
          <w:lang w:val="fr-FR"/>
        </w:rPr>
        <w:t xml:space="preserve"> </w:t>
      </w:r>
      <w:r w:rsidRPr="003A03EA">
        <w:rPr>
          <w:rFonts w:cs="Times New Roman"/>
          <w:lang w:val="fr-FR"/>
        </w:rPr>
        <w:t xml:space="preserve">qui dispose que : </w:t>
      </w:r>
      <w:r w:rsidRPr="003A03EA">
        <w:rPr>
          <w:rFonts w:cs="Times New Roman"/>
          <w:i/>
          <w:iCs/>
          <w:lang w:val="fr-FR"/>
        </w:rPr>
        <w:t>«  A la fin de ses travaux, l'expert envoie pour lecture au juge, aux parties et à leurs conseils, ses constatations, auxquelles il joint déjà un avis provisoire, à moins qu’il n’ait été antérieurement déterminé par le juge. L’expert fixe un délai raisonnable, compte tenu de la nature du litige, dans lequel les parties doivent formuler leurs observations. Sauf décision contraire du juge ou circonstances particulières visées par l’expert en son avis provisoire, ce délai est d’au moins quinze  jours.</w:t>
      </w:r>
    </w:p>
    <w:p w:rsidR="003E5F4D" w:rsidRPr="003A03EA" w:rsidRDefault="003E5F4D" w:rsidP="003E5F4D">
      <w:pPr>
        <w:tabs>
          <w:tab w:val="left" w:pos="-1440"/>
        </w:tabs>
        <w:snapToGrid w:val="0"/>
        <w:jc w:val="both"/>
        <w:rPr>
          <w:rFonts w:cs="Times New Roman"/>
          <w:i/>
          <w:iCs/>
          <w:lang w:val="fr-FR"/>
        </w:rPr>
      </w:pPr>
      <w:r w:rsidRPr="003A03EA">
        <w:rPr>
          <w:rFonts w:cs="Times New Roman"/>
          <w:i/>
          <w:iCs/>
          <w:lang w:val="fr-FR"/>
        </w:rPr>
        <w:t xml:space="preserve">L'expert reçoit les observations des parties et de leurs conseillers techniques avant l'expiration de ce délai. </w:t>
      </w:r>
      <w:r w:rsidRPr="003A03EA">
        <w:rPr>
          <w:rFonts w:cs="Times New Roman"/>
          <w:b/>
          <w:bCs/>
          <w:i/>
          <w:iCs/>
          <w:lang w:val="fr-FR"/>
        </w:rPr>
        <w:t>L'expert ne tient aucun compte des observations qu'il reçoit tardivement. Ces observations peuvent être écartées d'office des débats par le juge</w:t>
      </w:r>
      <w:r w:rsidRPr="003A03EA">
        <w:rPr>
          <w:rFonts w:cs="Times New Roman"/>
          <w:i/>
          <w:iCs/>
          <w:lang w:val="fr-FR"/>
        </w:rPr>
        <w:t xml:space="preserve">. </w:t>
      </w:r>
    </w:p>
    <w:p w:rsidR="003E5F4D" w:rsidRPr="003A03EA" w:rsidRDefault="003E5F4D" w:rsidP="003E5F4D">
      <w:pPr>
        <w:tabs>
          <w:tab w:val="left" w:pos="-1440"/>
        </w:tabs>
        <w:snapToGrid w:val="0"/>
        <w:jc w:val="both"/>
        <w:rPr>
          <w:rFonts w:cs="Times New Roman"/>
          <w:i/>
          <w:iCs/>
          <w:lang w:val="fr-FR"/>
        </w:rPr>
      </w:pPr>
      <w:r w:rsidRPr="003A03EA">
        <w:rPr>
          <w:rFonts w:cs="Times New Roman"/>
          <w:i/>
          <w:iCs/>
          <w:lang w:val="fr-FR"/>
        </w:rPr>
        <w:t>Lorsqu’après réception des observations des parties, l’expert estime que de nouveaux travaux sont indispensables, il en sollicite l’autorisation auprès du juge conformément à l’article 973,§2 ».</w:t>
      </w:r>
    </w:p>
    <w:p w:rsidR="003E5F4D" w:rsidRPr="003A03EA" w:rsidRDefault="003E5F4D" w:rsidP="003E5F4D">
      <w:pPr>
        <w:tabs>
          <w:tab w:val="left" w:pos="-1440"/>
        </w:tabs>
        <w:snapToGrid w:val="0"/>
        <w:jc w:val="both"/>
        <w:rPr>
          <w:rFonts w:cs="Times New Roman"/>
          <w:i/>
          <w:iCs/>
          <w:lang w:val="fr-FR"/>
        </w:rPr>
      </w:pPr>
    </w:p>
    <w:p w:rsidR="003E5F4D" w:rsidRDefault="003E5F4D" w:rsidP="003E5F4D">
      <w:pPr>
        <w:tabs>
          <w:tab w:val="left" w:pos="-1440"/>
        </w:tabs>
        <w:snapToGrid w:val="0"/>
        <w:jc w:val="both"/>
        <w:rPr>
          <w:rFonts w:cs="Times New Roman"/>
          <w:bCs/>
        </w:rPr>
      </w:pPr>
      <w:r w:rsidRPr="003A03EA">
        <w:rPr>
          <w:rFonts w:cs="Times New Roman"/>
          <w:bCs/>
        </w:rPr>
        <w:t>S’agissant d’une mesure d’expertise habituelle en cette matière, le tribunal estime qu’il n’y a pas lieu de prévoir une réunion d’installation de l’expert.</w:t>
      </w:r>
    </w:p>
    <w:p w:rsidR="008C2F8A" w:rsidRPr="008C2F8A" w:rsidRDefault="008C2F8A" w:rsidP="003E5F4D">
      <w:pPr>
        <w:pStyle w:val="Paragraphedeliste"/>
        <w:numPr>
          <w:ilvl w:val="0"/>
          <w:numId w:val="16"/>
        </w:numPr>
        <w:jc w:val="both"/>
        <w:rPr>
          <w:rFonts w:eastAsia="Times New Roman" w:cs="Times New Roman"/>
          <w:b/>
          <w:color w:val="222222"/>
        </w:rPr>
      </w:pPr>
      <w:r w:rsidRPr="008C2F8A">
        <w:rPr>
          <w:rFonts w:eastAsia="Times New Roman" w:cs="Times New Roman"/>
          <w:b/>
          <w:color w:val="222222"/>
        </w:rPr>
        <w:t xml:space="preserve">Sur le moyen subsidiaire quant à l’application de l’article 1050 du Code judiciaire </w:t>
      </w:r>
    </w:p>
    <w:p w:rsidR="008C2F8A" w:rsidRDefault="008C2F8A" w:rsidP="008C2F8A">
      <w:pPr>
        <w:jc w:val="both"/>
        <w:rPr>
          <w:rFonts w:eastAsia="Times New Roman" w:cs="Times New Roman"/>
          <w:b/>
          <w:color w:val="222222"/>
          <w:sz w:val="20"/>
          <w:szCs w:val="20"/>
        </w:rPr>
      </w:pPr>
    </w:p>
    <w:p w:rsidR="008C2F8A" w:rsidRPr="00CC50A0" w:rsidRDefault="00B54313" w:rsidP="008C2F8A">
      <w:pPr>
        <w:jc w:val="both"/>
        <w:rPr>
          <w:rFonts w:ascii="Arial" w:eastAsia="Times New Roman" w:hAnsi="Arial" w:cs="Arial"/>
          <w:color w:val="222222"/>
          <w:sz w:val="20"/>
          <w:szCs w:val="20"/>
        </w:rPr>
      </w:pPr>
      <w:r>
        <w:rPr>
          <w:rFonts w:eastAsia="Times New Roman" w:cs="Times New Roman"/>
          <w:color w:val="222222"/>
        </w:rPr>
        <w:t>Fedris</w:t>
      </w:r>
      <w:r w:rsidR="008C2F8A" w:rsidRPr="00CC50A0">
        <w:rPr>
          <w:rFonts w:eastAsia="Times New Roman" w:cs="Times New Roman"/>
          <w:color w:val="222222"/>
        </w:rPr>
        <w:t xml:space="preserve"> sollicite l’</w:t>
      </w:r>
      <w:r w:rsidR="008C2F8A">
        <w:rPr>
          <w:rFonts w:eastAsia="Times New Roman" w:cs="Times New Roman"/>
          <w:color w:val="222222"/>
        </w:rPr>
        <w:t>écartement de l’application de l’article 1050 alinéa 2 du Code judiciaire</w:t>
      </w:r>
      <w:r w:rsidR="008C2F8A" w:rsidRPr="00CC50A0">
        <w:rPr>
          <w:rFonts w:eastAsia="Times New Roman" w:cs="Times New Roman"/>
          <w:color w:val="222222"/>
        </w:rPr>
        <w:t>.</w:t>
      </w:r>
    </w:p>
    <w:p w:rsidR="008C2F8A" w:rsidRPr="00C02183" w:rsidRDefault="008C2F8A" w:rsidP="008C2F8A">
      <w:pPr>
        <w:shd w:val="clear" w:color="auto" w:fill="FFFFFF"/>
        <w:jc w:val="both"/>
        <w:rPr>
          <w:rFonts w:eastAsia="Times New Roman" w:cs="Times New Roman"/>
          <w:color w:val="222222"/>
          <w:lang w:eastAsia="en-GB"/>
        </w:rPr>
      </w:pPr>
      <w:r w:rsidRPr="007E3593">
        <w:rPr>
          <w:rFonts w:eastAsia="Times New Roman" w:cs="Times New Roman"/>
          <w:color w:val="222222"/>
          <w:lang w:val="fr-FR" w:eastAsia="en-GB"/>
        </w:rPr>
        <w:t>Selon elle, il serait disproportionné de l</w:t>
      </w:r>
      <w:r>
        <w:rPr>
          <w:rFonts w:eastAsia="Times New Roman" w:cs="Times New Roman"/>
          <w:color w:val="222222"/>
          <w:lang w:val="fr-FR" w:eastAsia="en-GB"/>
        </w:rPr>
        <w:t>ui</w:t>
      </w:r>
      <w:r w:rsidRPr="007E3593">
        <w:rPr>
          <w:rFonts w:eastAsia="Times New Roman" w:cs="Times New Roman"/>
          <w:color w:val="222222"/>
          <w:lang w:val="fr-FR" w:eastAsia="en-GB"/>
        </w:rPr>
        <w:t xml:space="preserve"> faire subir le coût d'une expertise à laquelle elle s'oppose sans possibilité d'interjeter appel.</w:t>
      </w:r>
    </w:p>
    <w:p w:rsidR="008C2F8A" w:rsidRPr="00046DCD" w:rsidRDefault="008C2F8A" w:rsidP="008C2F8A">
      <w:pPr>
        <w:jc w:val="both"/>
        <w:rPr>
          <w:rFonts w:eastAsia="Times New Roman" w:cs="Times New Roman"/>
          <w:color w:val="222222"/>
        </w:rPr>
      </w:pPr>
      <w:r w:rsidRPr="00046DCD">
        <w:rPr>
          <w:rFonts w:eastAsia="Arial" w:cs="Times New Roman"/>
          <w:color w:val="000000"/>
          <w:lang w:val="fr-FR"/>
        </w:rPr>
        <w:t>Aux termes</w:t>
      </w:r>
      <w:r w:rsidRPr="00C02183">
        <w:rPr>
          <w:rFonts w:eastAsia="Arial" w:cs="Times New Roman"/>
          <w:color w:val="000000"/>
        </w:rPr>
        <w:t xml:space="preserve"> de</w:t>
      </w:r>
      <w:r w:rsidRPr="00046DCD">
        <w:rPr>
          <w:rFonts w:eastAsia="Arial" w:cs="Times New Roman"/>
          <w:color w:val="000000"/>
          <w:lang w:val="fr-FR"/>
        </w:rPr>
        <w:t xml:space="preserve"> l'article</w:t>
      </w:r>
      <w:r w:rsidRPr="00C02183">
        <w:rPr>
          <w:rFonts w:eastAsia="Arial" w:cs="Times New Roman"/>
          <w:color w:val="000000"/>
        </w:rPr>
        <w:t xml:space="preserve"> 616 du Code</w:t>
      </w:r>
      <w:r w:rsidRPr="00046DCD">
        <w:rPr>
          <w:rFonts w:eastAsia="Arial" w:cs="Times New Roman"/>
          <w:color w:val="000000"/>
          <w:lang w:val="fr-FR"/>
        </w:rPr>
        <w:t xml:space="preserve"> judiciaire, tout jugement peut être frappé d'appel, sauf si</w:t>
      </w:r>
      <w:r w:rsidRPr="00C02183">
        <w:rPr>
          <w:rFonts w:eastAsia="Arial" w:cs="Times New Roman"/>
          <w:color w:val="000000"/>
        </w:rPr>
        <w:t xml:space="preserve"> la</w:t>
      </w:r>
      <w:r w:rsidRPr="00046DCD">
        <w:rPr>
          <w:rFonts w:eastAsia="Arial" w:cs="Times New Roman"/>
          <w:color w:val="000000"/>
          <w:lang w:val="fr-FR"/>
        </w:rPr>
        <w:t xml:space="preserve"> loi</w:t>
      </w:r>
      <w:r w:rsidRPr="00C02183">
        <w:rPr>
          <w:rFonts w:eastAsia="Arial" w:cs="Times New Roman"/>
          <w:color w:val="000000"/>
        </w:rPr>
        <w:t xml:space="preserve"> en</w:t>
      </w:r>
      <w:r w:rsidRPr="00046DCD">
        <w:rPr>
          <w:rFonts w:eastAsia="Arial" w:cs="Times New Roman"/>
          <w:color w:val="000000"/>
          <w:lang w:val="fr-FR"/>
        </w:rPr>
        <w:t xml:space="preserve"> dispose autrement.</w:t>
      </w:r>
    </w:p>
    <w:p w:rsidR="008C2F8A" w:rsidRDefault="008C2F8A" w:rsidP="008C2F8A">
      <w:pPr>
        <w:jc w:val="both"/>
        <w:rPr>
          <w:rFonts w:eastAsia="Times New Roman" w:cs="Times New Roman"/>
          <w:color w:val="222222"/>
        </w:rPr>
      </w:pPr>
    </w:p>
    <w:p w:rsidR="008C2F8A" w:rsidRDefault="008C2F8A" w:rsidP="008C2F8A">
      <w:pPr>
        <w:jc w:val="both"/>
        <w:rPr>
          <w:rFonts w:eastAsia="Times New Roman" w:cs="Times New Roman"/>
          <w:color w:val="222222"/>
        </w:rPr>
      </w:pPr>
      <w:r>
        <w:rPr>
          <w:rFonts w:eastAsia="Times New Roman" w:cs="Times New Roman"/>
          <w:color w:val="222222"/>
        </w:rPr>
        <w:t>Aussi, l</w:t>
      </w:r>
      <w:r w:rsidRPr="00CC50A0">
        <w:rPr>
          <w:rFonts w:eastAsia="Times New Roman" w:cs="Times New Roman"/>
          <w:color w:val="222222"/>
        </w:rPr>
        <w:t>’article 1050, alinéa 2 du Code judiciaire, tel que modifié par la loi du 19 octobre 2015 modifiant le droit de la procédure civile et portant des dispositions dive</w:t>
      </w:r>
      <w:r>
        <w:rPr>
          <w:rFonts w:eastAsia="Times New Roman" w:cs="Times New Roman"/>
          <w:color w:val="222222"/>
        </w:rPr>
        <w:t>rses en matière de justice</w:t>
      </w:r>
      <w:r w:rsidRPr="00CC50A0">
        <w:rPr>
          <w:rFonts w:eastAsia="Times New Roman" w:cs="Times New Roman"/>
          <w:color w:val="222222"/>
        </w:rPr>
        <w:t xml:space="preserve"> ne permet plus l’appel d’une décision avant dire droit</w:t>
      </w:r>
      <w:r>
        <w:rPr>
          <w:rFonts w:eastAsia="Times New Roman" w:cs="Times New Roman"/>
          <w:color w:val="222222"/>
        </w:rPr>
        <w:t>,</w:t>
      </w:r>
      <w:r w:rsidRPr="00CC50A0">
        <w:rPr>
          <w:rFonts w:eastAsia="Times New Roman" w:cs="Times New Roman"/>
          <w:color w:val="222222"/>
        </w:rPr>
        <w:t xml:space="preserve"> sauf si le juge en décide autrement.</w:t>
      </w:r>
    </w:p>
    <w:p w:rsidR="008C2F8A" w:rsidRDefault="008C2F8A" w:rsidP="008C2F8A">
      <w:pPr>
        <w:jc w:val="both"/>
        <w:rPr>
          <w:rFonts w:eastAsia="Times New Roman" w:cs="Times New Roman"/>
          <w:color w:val="222222"/>
        </w:rPr>
      </w:pPr>
    </w:p>
    <w:p w:rsidR="008C2F8A" w:rsidRPr="00C02183" w:rsidRDefault="008C2F8A" w:rsidP="008C2F8A">
      <w:pPr>
        <w:shd w:val="clear" w:color="auto" w:fill="FFFFFF"/>
        <w:jc w:val="both"/>
        <w:rPr>
          <w:rFonts w:eastAsia="Times New Roman" w:cs="Times New Roman"/>
          <w:color w:val="222222"/>
          <w:lang w:eastAsia="en-GB"/>
        </w:rPr>
      </w:pPr>
      <w:r>
        <w:rPr>
          <w:rFonts w:eastAsia="Times New Roman" w:cs="Times New Roman"/>
          <w:color w:val="222222"/>
        </w:rPr>
        <w:t xml:space="preserve">En effet, cet article précise : </w:t>
      </w:r>
      <w:r w:rsidRPr="007E3593">
        <w:rPr>
          <w:rFonts w:eastAsia="Times New Roman" w:cs="Times New Roman"/>
          <w:color w:val="222222"/>
          <w:lang w:val="fr-FR" w:eastAsia="en-GB"/>
        </w:rPr>
        <w:t>« </w:t>
      </w:r>
      <w:r w:rsidRPr="007E3593">
        <w:rPr>
          <w:rFonts w:eastAsia="Times New Roman" w:cs="Times New Roman"/>
          <w:i/>
          <w:iCs/>
          <w:color w:val="222222"/>
          <w:lang w:val="fr-FR" w:eastAsia="en-GB"/>
        </w:rPr>
        <w:t>En toutes matières, l'appel peut être formé dès la prononciation du jugement, même si celui-ci a été rendu par défaut.</w:t>
      </w:r>
    </w:p>
    <w:p w:rsidR="008C2F8A" w:rsidRPr="00C02183" w:rsidRDefault="008C2F8A" w:rsidP="008C2F8A">
      <w:pPr>
        <w:shd w:val="clear" w:color="auto" w:fill="FFFFFF"/>
        <w:jc w:val="both"/>
        <w:rPr>
          <w:rFonts w:eastAsia="Times New Roman" w:cs="Times New Roman"/>
          <w:color w:val="222222"/>
          <w:lang w:eastAsia="en-GB"/>
        </w:rPr>
      </w:pPr>
      <w:r w:rsidRPr="007E3593">
        <w:rPr>
          <w:rFonts w:eastAsia="Times New Roman" w:cs="Times New Roman"/>
          <w:i/>
          <w:iCs/>
          <w:color w:val="222222"/>
          <w:lang w:val="fr-FR" w:eastAsia="en-GB"/>
        </w:rPr>
        <w:t>Contre une décision rendue sur la compétence ou, sauf si le juge, d'office ou à la demande d'une des parties, en décide autrement, une décision avant dire droit, un appel ne peut être formé qu'avec l'appel contre le jugement définitif.</w:t>
      </w:r>
      <w:r w:rsidRPr="007E3593">
        <w:rPr>
          <w:rFonts w:eastAsia="Times New Roman" w:cs="Times New Roman"/>
          <w:color w:val="222222"/>
          <w:lang w:val="fr-FR" w:eastAsia="en-GB"/>
        </w:rPr>
        <w:t> »</w:t>
      </w:r>
    </w:p>
    <w:p w:rsidR="008C2F8A" w:rsidRPr="00C02183" w:rsidRDefault="008C2F8A" w:rsidP="008C2F8A">
      <w:pPr>
        <w:shd w:val="clear" w:color="auto" w:fill="FFFFFF"/>
        <w:jc w:val="both"/>
        <w:rPr>
          <w:rFonts w:eastAsia="Times New Roman" w:cs="Times New Roman"/>
          <w:color w:val="222222"/>
          <w:lang w:eastAsia="en-GB"/>
        </w:rPr>
      </w:pPr>
    </w:p>
    <w:p w:rsidR="008C2F8A" w:rsidRPr="00E74DAD" w:rsidRDefault="008C2F8A" w:rsidP="008C2F8A">
      <w:pPr>
        <w:shd w:val="clear" w:color="auto" w:fill="FFFFFF"/>
        <w:jc w:val="both"/>
        <w:rPr>
          <w:rFonts w:eastAsia="Times New Roman" w:cs="Times New Roman"/>
          <w:i/>
          <w:color w:val="222222"/>
          <w:lang w:eastAsia="en-GB"/>
        </w:rPr>
      </w:pPr>
      <w:r>
        <w:rPr>
          <w:rFonts w:eastAsia="Arial" w:cs="Times New Roman"/>
          <w:i/>
          <w:color w:val="000000"/>
          <w:spacing w:val="-4"/>
        </w:rPr>
        <w:t>« </w:t>
      </w:r>
      <w:r w:rsidRPr="00E74DAD">
        <w:rPr>
          <w:rFonts w:eastAsia="Arial" w:cs="Times New Roman"/>
          <w:i/>
          <w:color w:val="000000"/>
          <w:spacing w:val="-4"/>
        </w:rPr>
        <w:t>La ratio legis de cette modification légale apportée par la loi du 19 octobre 2015 est la volonté de lutter contre les appels abusifs dirigés à l'encontre des jugements interlocutoires destinés à renvoyer l'affaire aux calendes grecques devant le juge d'appel (Projet de loi modifiant le droit de la procédure civile (...),Chambre des représentants, 2014-2015, Doc 54.1219/01, p. 23).</w:t>
      </w:r>
    </w:p>
    <w:p w:rsidR="008C2F8A" w:rsidRPr="00E74DAD" w:rsidRDefault="008C2F8A" w:rsidP="008C2F8A">
      <w:pPr>
        <w:shd w:val="clear" w:color="auto" w:fill="FFFFFF"/>
        <w:jc w:val="both"/>
        <w:rPr>
          <w:rFonts w:eastAsia="Times New Roman" w:cs="Times New Roman"/>
          <w:color w:val="222222"/>
          <w:lang w:eastAsia="en-GB"/>
        </w:rPr>
      </w:pPr>
      <w:r w:rsidRPr="00E74DAD">
        <w:rPr>
          <w:rFonts w:eastAsia="Arial" w:cs="Times New Roman"/>
          <w:i/>
          <w:color w:val="000000"/>
        </w:rPr>
        <w:t>Le législateur a toutefois donné le pouvoir au premier juge de décider qu'un appel immédiat demeure possible contre son jugement avant dire droit. »</w:t>
      </w:r>
      <w:r w:rsidRPr="0052546E">
        <w:rPr>
          <w:rStyle w:val="Appelnotedebasdep"/>
          <w:rFonts w:eastAsia="Arial" w:cs="Times New Roman"/>
          <w:i/>
          <w:color w:val="000000"/>
        </w:rPr>
        <w:footnoteReference w:id="1"/>
      </w:r>
    </w:p>
    <w:p w:rsidR="008C2F8A" w:rsidRPr="00C02183" w:rsidRDefault="008C2F8A" w:rsidP="008C2F8A">
      <w:pPr>
        <w:shd w:val="clear" w:color="auto" w:fill="FFFFFF"/>
        <w:jc w:val="both"/>
        <w:rPr>
          <w:rFonts w:eastAsia="Times New Roman" w:cs="Times New Roman"/>
          <w:color w:val="222222"/>
          <w:lang w:eastAsia="en-GB"/>
        </w:rPr>
      </w:pPr>
    </w:p>
    <w:p w:rsidR="008C2F8A" w:rsidRPr="00C02183" w:rsidRDefault="008C2F8A" w:rsidP="008C2F8A">
      <w:pPr>
        <w:shd w:val="clear" w:color="auto" w:fill="FFFFFF"/>
        <w:jc w:val="both"/>
        <w:rPr>
          <w:rFonts w:eastAsia="Times New Roman" w:cs="Times New Roman"/>
          <w:color w:val="222222"/>
          <w:lang w:eastAsia="en-GB"/>
        </w:rPr>
      </w:pPr>
      <w:r>
        <w:rPr>
          <w:rFonts w:eastAsia="Times New Roman" w:cs="Times New Roman"/>
          <w:color w:val="222222"/>
          <w:lang w:val="fr-FR" w:eastAsia="en-GB"/>
        </w:rPr>
        <w:t>Ainsi, l</w:t>
      </w:r>
      <w:r w:rsidRPr="007E3593">
        <w:rPr>
          <w:rFonts w:eastAsia="Times New Roman" w:cs="Times New Roman"/>
          <w:color w:val="222222"/>
          <w:lang w:val="fr-FR" w:eastAsia="en-GB"/>
        </w:rPr>
        <w:t>e législateur a volontairement défini la règle : l’appel d’un jugement avant dire droit ne peut être formé qu’avec le jugement définitif. Cette règle vise à accélérer la procédure. L’exception à cette règle peut toutefois être décidée par le juge.</w:t>
      </w:r>
    </w:p>
    <w:p w:rsidR="008C2F8A" w:rsidRPr="00C02183" w:rsidRDefault="008C2F8A" w:rsidP="008C2F8A">
      <w:pPr>
        <w:shd w:val="clear" w:color="auto" w:fill="FFFFFF"/>
        <w:jc w:val="both"/>
        <w:rPr>
          <w:rFonts w:eastAsia="Times New Roman" w:cs="Times New Roman"/>
          <w:color w:val="222222"/>
          <w:lang w:eastAsia="en-GB"/>
        </w:rPr>
      </w:pPr>
      <w:r w:rsidRPr="007E3593">
        <w:rPr>
          <w:rFonts w:eastAsia="Times New Roman" w:cs="Times New Roman"/>
          <w:color w:val="222222"/>
          <w:lang w:val="fr-FR" w:eastAsia="en-GB"/>
        </w:rPr>
        <w:t> </w:t>
      </w:r>
    </w:p>
    <w:p w:rsidR="008C2F8A" w:rsidRPr="00C02183" w:rsidRDefault="008C2F8A" w:rsidP="008C2F8A">
      <w:pPr>
        <w:shd w:val="clear" w:color="auto" w:fill="FFFFFF"/>
        <w:jc w:val="both"/>
        <w:rPr>
          <w:rFonts w:eastAsia="Times New Roman" w:cs="Times New Roman"/>
          <w:color w:val="222222"/>
          <w:lang w:eastAsia="en-GB"/>
        </w:rPr>
      </w:pPr>
      <w:r>
        <w:rPr>
          <w:rFonts w:eastAsia="Times New Roman" w:cs="Times New Roman"/>
          <w:color w:val="222222"/>
          <w:lang w:val="fr-FR" w:eastAsia="en-GB"/>
        </w:rPr>
        <w:t>Si le t</w:t>
      </w:r>
      <w:r w:rsidRPr="007E3593">
        <w:rPr>
          <w:rFonts w:eastAsia="Times New Roman" w:cs="Times New Roman"/>
          <w:color w:val="222222"/>
          <w:lang w:val="fr-FR" w:eastAsia="en-GB"/>
        </w:rPr>
        <w:t>ribunal accept</w:t>
      </w:r>
      <w:r>
        <w:rPr>
          <w:rFonts w:eastAsia="Times New Roman" w:cs="Times New Roman"/>
          <w:color w:val="222222"/>
          <w:lang w:val="fr-FR" w:eastAsia="en-GB"/>
        </w:rPr>
        <w:t>e</w:t>
      </w:r>
      <w:r w:rsidRPr="007E3593">
        <w:rPr>
          <w:rFonts w:eastAsia="Times New Roman" w:cs="Times New Roman"/>
          <w:color w:val="222222"/>
          <w:lang w:val="fr-FR" w:eastAsia="en-GB"/>
        </w:rPr>
        <w:t xml:space="preserve"> de </w:t>
      </w:r>
      <w:r>
        <w:rPr>
          <w:rFonts w:eastAsia="Times New Roman" w:cs="Times New Roman"/>
          <w:color w:val="222222"/>
          <w:lang w:val="fr-FR" w:eastAsia="en-GB"/>
        </w:rPr>
        <w:t>ne pas appliquer</w:t>
      </w:r>
      <w:r w:rsidRPr="007E3593">
        <w:rPr>
          <w:rFonts w:eastAsia="Times New Roman" w:cs="Times New Roman"/>
          <w:color w:val="222222"/>
          <w:lang w:val="fr-FR" w:eastAsia="en-GB"/>
        </w:rPr>
        <w:t xml:space="preserve"> la règle, sans aucun autre motif particulier</w:t>
      </w:r>
      <w:r>
        <w:rPr>
          <w:rFonts w:eastAsia="Times New Roman" w:cs="Times New Roman"/>
          <w:color w:val="222222"/>
          <w:lang w:val="fr-FR" w:eastAsia="en-GB"/>
        </w:rPr>
        <w:t xml:space="preserve"> que la réalisation d’économie budgétaire</w:t>
      </w:r>
      <w:r w:rsidRPr="007E3593">
        <w:rPr>
          <w:rFonts w:eastAsia="Times New Roman" w:cs="Times New Roman"/>
          <w:color w:val="222222"/>
          <w:lang w:val="fr-FR" w:eastAsia="en-GB"/>
        </w:rPr>
        <w:t>, il devrait</w:t>
      </w:r>
      <w:r>
        <w:rPr>
          <w:rFonts w:eastAsia="Times New Roman" w:cs="Times New Roman"/>
          <w:color w:val="222222"/>
          <w:lang w:val="fr-FR" w:eastAsia="en-GB"/>
        </w:rPr>
        <w:t>, alors,</w:t>
      </w:r>
      <w:r w:rsidRPr="007E3593">
        <w:rPr>
          <w:rFonts w:eastAsia="Times New Roman" w:cs="Times New Roman"/>
          <w:color w:val="222222"/>
          <w:lang w:val="fr-FR" w:eastAsia="en-GB"/>
        </w:rPr>
        <w:t xml:space="preserve"> accepter d’y déroger dans tous les jugements avant dire droit </w:t>
      </w:r>
      <w:r>
        <w:rPr>
          <w:rFonts w:eastAsia="Times New Roman" w:cs="Times New Roman"/>
          <w:color w:val="222222"/>
          <w:lang w:val="fr-FR" w:eastAsia="en-GB"/>
        </w:rPr>
        <w:t>prévoyant la</w:t>
      </w:r>
      <w:r w:rsidRPr="007E3593">
        <w:rPr>
          <w:rFonts w:eastAsia="Times New Roman" w:cs="Times New Roman"/>
          <w:color w:val="222222"/>
          <w:lang w:val="fr-FR" w:eastAsia="en-GB"/>
        </w:rPr>
        <w:t xml:space="preserve"> désignation d’</w:t>
      </w:r>
      <w:r>
        <w:rPr>
          <w:rFonts w:eastAsia="Times New Roman" w:cs="Times New Roman"/>
          <w:color w:val="222222"/>
          <w:lang w:val="fr-FR" w:eastAsia="en-GB"/>
        </w:rPr>
        <w:t xml:space="preserve">un </w:t>
      </w:r>
      <w:r w:rsidRPr="007E3593">
        <w:rPr>
          <w:rFonts w:eastAsia="Times New Roman" w:cs="Times New Roman"/>
          <w:color w:val="222222"/>
          <w:lang w:val="fr-FR" w:eastAsia="en-GB"/>
        </w:rPr>
        <w:t xml:space="preserve">expert </w:t>
      </w:r>
      <w:r>
        <w:rPr>
          <w:rFonts w:eastAsia="Times New Roman" w:cs="Times New Roman"/>
          <w:color w:val="222222"/>
          <w:lang w:val="fr-FR" w:eastAsia="en-GB"/>
        </w:rPr>
        <w:t>en matière de maladie professionnelle</w:t>
      </w:r>
      <w:r w:rsidRPr="007E3593">
        <w:rPr>
          <w:rFonts w:eastAsia="Times New Roman" w:cs="Times New Roman"/>
          <w:color w:val="222222"/>
          <w:lang w:val="fr-FR" w:eastAsia="en-GB"/>
        </w:rPr>
        <w:t>. Cela viendrait à vider la disposition de sa substance et irait à l’encontre de la volonté du législateur.</w:t>
      </w:r>
    </w:p>
    <w:p w:rsidR="008C2F8A" w:rsidRPr="001B7D82" w:rsidRDefault="008C2F8A" w:rsidP="008C2F8A">
      <w:pPr>
        <w:jc w:val="both"/>
        <w:rPr>
          <w:rFonts w:eastAsia="Times New Roman" w:cs="Times New Roman"/>
          <w:color w:val="222222"/>
        </w:rPr>
      </w:pPr>
      <w:r w:rsidRPr="001B7D82">
        <w:rPr>
          <w:rFonts w:eastAsia="Times New Roman" w:cs="Times New Roman"/>
          <w:color w:val="222222"/>
        </w:rPr>
        <w:t>Par ailleurs, une expertise judiciaire peut constituer un moyen de preuve.</w:t>
      </w:r>
    </w:p>
    <w:p w:rsidR="008C2F8A" w:rsidRPr="001B7D82" w:rsidRDefault="008C2F8A" w:rsidP="008C2F8A">
      <w:pPr>
        <w:jc w:val="both"/>
        <w:rPr>
          <w:rFonts w:eastAsia="Times New Roman" w:cs="Times New Roman"/>
          <w:color w:val="222222"/>
        </w:rPr>
      </w:pPr>
      <w:r w:rsidRPr="001B7D82">
        <w:rPr>
          <w:rFonts w:eastAsia="Times New Roman" w:cs="Times New Roman"/>
          <w:color w:val="222222"/>
        </w:rPr>
        <w:t>De plus, le juge doit pouvoir s’entourer de l’avis technique d’un expert afin de statuer.</w:t>
      </w:r>
    </w:p>
    <w:p w:rsidR="008C2F8A" w:rsidRDefault="008C2F8A" w:rsidP="008C2F8A">
      <w:pPr>
        <w:jc w:val="both"/>
        <w:rPr>
          <w:rFonts w:eastAsia="Times New Roman" w:cs="Times New Roman"/>
          <w:color w:val="222222"/>
        </w:rPr>
      </w:pPr>
      <w:r w:rsidRPr="001B7D82">
        <w:rPr>
          <w:rFonts w:eastAsia="Times New Roman" w:cs="Times New Roman"/>
          <w:color w:val="222222"/>
        </w:rPr>
        <w:t>Aussi, il ne peut être soutenu que la demande de recourir à la mesure avant dire droit sollicitée fut téméraire ou vexatoire.</w:t>
      </w:r>
      <w:r w:rsidRPr="00CC50A0">
        <w:rPr>
          <w:rFonts w:eastAsia="Times New Roman" w:cs="Times New Roman"/>
          <w:color w:val="222222"/>
        </w:rPr>
        <w:t xml:space="preserve"> </w:t>
      </w:r>
    </w:p>
    <w:p w:rsidR="008C2F8A" w:rsidRPr="00ED4388" w:rsidRDefault="008C2F8A" w:rsidP="008C2F8A">
      <w:pPr>
        <w:spacing w:before="265"/>
        <w:ind w:right="216"/>
        <w:jc w:val="both"/>
        <w:rPr>
          <w:rFonts w:eastAsia="Arial" w:cs="Times New Roman"/>
          <w:i/>
          <w:color w:val="000000"/>
          <w:spacing w:val="-5"/>
          <w:lang w:val="fr-FR"/>
        </w:rPr>
      </w:pPr>
      <w:r w:rsidRPr="00CC50A0">
        <w:rPr>
          <w:rFonts w:eastAsia="Times New Roman" w:cs="Times New Roman"/>
          <w:color w:val="222222"/>
        </w:rPr>
        <w:t>En conclusion, au regard des moyens avancés, le tribunal s’en tient à la volonté exprimée par le législateur et n’autorise pas l’appel immédiat du présent jugement</w:t>
      </w:r>
      <w:r>
        <w:rPr>
          <w:rFonts w:eastAsia="Times New Roman" w:cs="Times New Roman"/>
          <w:color w:val="222222"/>
        </w:rPr>
        <w:t>.</w:t>
      </w:r>
    </w:p>
    <w:p w:rsidR="008C2F8A" w:rsidRPr="00234B5B" w:rsidRDefault="008C2F8A" w:rsidP="008C2F8A">
      <w:pPr>
        <w:jc w:val="both"/>
        <w:rPr>
          <w:rFonts w:eastAsia="Times New Roman" w:cs="Times New Roman"/>
          <w:color w:val="222222"/>
        </w:rPr>
      </w:pPr>
      <w:r w:rsidRPr="00234B5B">
        <w:rPr>
          <w:rFonts w:eastAsia="Times New Roman" w:cs="Times New Roman"/>
          <w:color w:val="222222"/>
        </w:rPr>
        <w:t> </w:t>
      </w:r>
    </w:p>
    <w:p w:rsidR="008C2F8A" w:rsidRPr="00234B5B" w:rsidRDefault="008C2F8A" w:rsidP="008C2F8A">
      <w:pPr>
        <w:tabs>
          <w:tab w:val="left" w:pos="-1440"/>
        </w:tabs>
        <w:snapToGrid w:val="0"/>
        <w:jc w:val="both"/>
        <w:rPr>
          <w:rFonts w:cs="Times New Roman"/>
          <w:bCs/>
        </w:rPr>
      </w:pPr>
    </w:p>
    <w:p w:rsidR="008C2F8A" w:rsidRPr="008C2F8A" w:rsidRDefault="008C2F8A" w:rsidP="003E5F4D">
      <w:pPr>
        <w:pStyle w:val="Paragraphedeliste"/>
        <w:numPr>
          <w:ilvl w:val="0"/>
          <w:numId w:val="16"/>
        </w:numPr>
        <w:jc w:val="both"/>
        <w:textAlignment w:val="auto"/>
        <w:rPr>
          <w:rFonts w:cs="Times New Roman"/>
          <w:b/>
          <w:bCs/>
        </w:rPr>
      </w:pPr>
      <w:r w:rsidRPr="008C2F8A">
        <w:rPr>
          <w:rFonts w:cs="Times New Roman"/>
          <w:b/>
          <w:bCs/>
        </w:rPr>
        <w:t>L’article 1397 du Code judiciaire.</w:t>
      </w:r>
    </w:p>
    <w:p w:rsidR="008C2F8A" w:rsidRDefault="008C2F8A" w:rsidP="008C2F8A">
      <w:pPr>
        <w:jc w:val="both"/>
        <w:rPr>
          <w:rFonts w:cs="Times New Roman"/>
          <w:b/>
          <w:bCs/>
        </w:rPr>
      </w:pPr>
    </w:p>
    <w:p w:rsidR="008C2F8A" w:rsidRPr="00565AEE" w:rsidRDefault="008C2F8A" w:rsidP="008C2F8A">
      <w:pPr>
        <w:tabs>
          <w:tab w:val="left" w:pos="-1440"/>
        </w:tabs>
        <w:snapToGrid w:val="0"/>
        <w:rPr>
          <w:rFonts w:cs="Times New Roman"/>
        </w:rPr>
      </w:pPr>
      <w:r>
        <w:rPr>
          <w:rFonts w:cs="Times New Roman"/>
        </w:rPr>
        <w:t>L’article 1397 du Code judiciaire prévoit que « </w:t>
      </w:r>
      <w:r w:rsidRPr="00565AEE">
        <w:rPr>
          <w:bCs/>
          <w:i/>
          <w:color w:val="000000"/>
          <w:shd w:val="clear" w:color="auto" w:fill="FFFFFF"/>
        </w:rPr>
        <w:t>Sauf les exceptions prévues par la loi ou sauf si le juge, d'office ou à la demande d'une des parties, en décide autrement moyennant une décision spécialement motivée, sans préjudice de l'article 1414, les jugements définitifs sont exécutoires par provision nonobstant appel et sans garantie si le juge n'a pas ordonné qu'il en soit constitué une.</w:t>
      </w:r>
      <w:r w:rsidRPr="00565AEE">
        <w:rPr>
          <w:bCs/>
          <w:i/>
          <w:color w:val="000000"/>
        </w:rPr>
        <w:br/>
      </w:r>
      <w:r w:rsidRPr="00565AEE">
        <w:rPr>
          <w:bCs/>
          <w:i/>
          <w:color w:val="000000"/>
          <w:shd w:val="clear" w:color="auto" w:fill="FFFFFF"/>
        </w:rPr>
        <w:t>   Sauf les exceptions prévues par la loi ou sauf si le juge, d'office ou à la demande d'une des parties, en décide autrement moyennant une décision spécialement motivée et sans préjudice de l'article 1414, l'opposition ou l'appel formé par la partie défaillante contre les jugements définitifs prononcés par défaut en suspendent l'exécution.</w:t>
      </w:r>
      <w:r w:rsidRPr="00565AEE">
        <w:rPr>
          <w:bCs/>
          <w:i/>
          <w:color w:val="000000"/>
        </w:rPr>
        <w:br/>
      </w:r>
      <w:r w:rsidRPr="00565AEE">
        <w:rPr>
          <w:bCs/>
          <w:i/>
          <w:color w:val="000000"/>
          <w:shd w:val="clear" w:color="auto" w:fill="FFFFFF"/>
        </w:rPr>
        <w:t>   L'exécution par provision est de droit pour les jugements avant dire droit, ce qui englobe tous les types de mesures provisoires.</w:t>
      </w:r>
      <w:r>
        <w:rPr>
          <w:bCs/>
          <w:color w:val="000000"/>
          <w:shd w:val="clear" w:color="auto" w:fill="FFFFFF"/>
        </w:rPr>
        <w:t> »</w:t>
      </w:r>
    </w:p>
    <w:p w:rsidR="008C2F8A" w:rsidRDefault="008C2F8A" w:rsidP="008C2F8A">
      <w:pPr>
        <w:tabs>
          <w:tab w:val="left" w:pos="-1440"/>
        </w:tabs>
        <w:snapToGrid w:val="0"/>
        <w:jc w:val="both"/>
        <w:rPr>
          <w:rFonts w:cs="Times New Roman"/>
        </w:rPr>
      </w:pPr>
    </w:p>
    <w:p w:rsidR="008C2F8A" w:rsidRDefault="008C2F8A" w:rsidP="008C2F8A">
      <w:pPr>
        <w:jc w:val="both"/>
        <w:rPr>
          <w:rFonts w:cs="Times New Roman"/>
        </w:rPr>
      </w:pPr>
      <w:r w:rsidRPr="008951D1">
        <w:rPr>
          <w:rFonts w:eastAsia="Cambria" w:cs="Times New Roman"/>
        </w:rPr>
        <w:t xml:space="preserve">Dès lors, sur base de cet article, l’exécution provisoire étant de droit, le présent jugement sera </w:t>
      </w:r>
      <w:r w:rsidRPr="008951D1">
        <w:rPr>
          <w:rFonts w:cs="Times New Roman"/>
        </w:rPr>
        <w:t>d</w:t>
      </w:r>
      <w:r>
        <w:rPr>
          <w:rFonts w:cs="Times New Roman"/>
        </w:rPr>
        <w:t>éclaré exécutoire par provision.</w:t>
      </w:r>
    </w:p>
    <w:p w:rsidR="008C2F8A" w:rsidRDefault="008C2F8A" w:rsidP="008C2F8A">
      <w:pPr>
        <w:tabs>
          <w:tab w:val="left" w:pos="-1440"/>
        </w:tabs>
        <w:snapToGrid w:val="0"/>
        <w:jc w:val="both"/>
        <w:rPr>
          <w:bCs/>
          <w:color w:val="000000"/>
        </w:rPr>
      </w:pPr>
    </w:p>
    <w:p w:rsidR="008C2F8A" w:rsidRPr="006634EC" w:rsidRDefault="008C2F8A" w:rsidP="008C2F8A">
      <w:pPr>
        <w:jc w:val="both"/>
        <w:rPr>
          <w:rFonts w:cs="Times New Roman"/>
        </w:rPr>
      </w:pPr>
      <w:r>
        <w:rPr>
          <w:rFonts w:cs="Times New Roman"/>
        </w:rPr>
        <w:t>En effet, le tri</w:t>
      </w:r>
      <w:r w:rsidRPr="006634EC">
        <w:rPr>
          <w:rFonts w:cs="Times New Roman"/>
        </w:rPr>
        <w:t>bunal constate que les choix du législateur sont clairs, tant</w:t>
      </w:r>
      <w:r>
        <w:rPr>
          <w:rFonts w:cs="Times New Roman"/>
        </w:rPr>
        <w:t xml:space="preserve"> pour</w:t>
      </w:r>
      <w:r w:rsidRPr="006634EC">
        <w:rPr>
          <w:rFonts w:cs="Times New Roman"/>
        </w:rPr>
        <w:t xml:space="preserve"> l’article 1050 que </w:t>
      </w:r>
      <w:r>
        <w:rPr>
          <w:rFonts w:cs="Times New Roman"/>
        </w:rPr>
        <w:t>pour</w:t>
      </w:r>
      <w:r w:rsidRPr="006634EC">
        <w:rPr>
          <w:rFonts w:cs="Times New Roman"/>
        </w:rPr>
        <w:t xml:space="preserve"> l’article 1397 du code judiciaire.</w:t>
      </w:r>
    </w:p>
    <w:p w:rsidR="008C2F8A" w:rsidRPr="006634EC" w:rsidRDefault="008C2F8A" w:rsidP="008C2F8A">
      <w:pPr>
        <w:jc w:val="both"/>
        <w:rPr>
          <w:rFonts w:cs="Times New Roman"/>
        </w:rPr>
      </w:pPr>
    </w:p>
    <w:p w:rsidR="008C2F8A" w:rsidRPr="006634EC" w:rsidRDefault="008C2F8A" w:rsidP="008C2F8A">
      <w:pPr>
        <w:jc w:val="both"/>
        <w:rPr>
          <w:rFonts w:cs="Times New Roman"/>
        </w:rPr>
      </w:pPr>
      <w:r w:rsidRPr="006634EC">
        <w:rPr>
          <w:rFonts w:cs="Times New Roman"/>
        </w:rPr>
        <w:t>Ces modifications légales ont pour but d’éviter la multiplication des procédures d’appel, et de permettre aux procédures de ne pas s’enliser plus que nécessaire, et ce au bénéfice de tous.</w:t>
      </w:r>
    </w:p>
    <w:p w:rsidR="008C2F8A" w:rsidRPr="006634EC" w:rsidRDefault="008C2F8A" w:rsidP="008C2F8A">
      <w:pPr>
        <w:jc w:val="both"/>
        <w:rPr>
          <w:rFonts w:cs="Times New Roman"/>
        </w:rPr>
      </w:pPr>
      <w:r w:rsidRPr="006634EC">
        <w:rPr>
          <w:rFonts w:cs="Times New Roman"/>
        </w:rPr>
        <w:t>Dans ce contexte, et constatant que de manière générale, le législateur n’a pas souhaité soustraire le contentieux des maladies professionnelles des lignes directrices générales arrêtées, le Tribunal n’y dérogera pas, dans le cas d’espèce.</w:t>
      </w:r>
    </w:p>
    <w:p w:rsidR="008C2F8A" w:rsidRPr="006634EC" w:rsidRDefault="008C2F8A" w:rsidP="008C2F8A">
      <w:pPr>
        <w:jc w:val="both"/>
        <w:rPr>
          <w:rFonts w:cs="Times New Roman"/>
        </w:rPr>
      </w:pPr>
    </w:p>
    <w:p w:rsidR="008C2F8A" w:rsidRPr="006634EC" w:rsidRDefault="008C2F8A" w:rsidP="008C2F8A">
      <w:pPr>
        <w:jc w:val="both"/>
        <w:rPr>
          <w:rFonts w:cs="Times New Roman"/>
        </w:rPr>
      </w:pPr>
      <w:r w:rsidRPr="006634EC">
        <w:rPr>
          <w:rFonts w:cs="Times New Roman"/>
        </w:rPr>
        <w:t>En</w:t>
      </w:r>
      <w:r>
        <w:rPr>
          <w:rFonts w:cs="Times New Roman"/>
        </w:rPr>
        <w:t xml:space="preserve"> conclusion, en</w:t>
      </w:r>
      <w:r w:rsidRPr="006634EC">
        <w:rPr>
          <w:rFonts w:cs="Times New Roman"/>
        </w:rPr>
        <w:t xml:space="preserve"> l’absence de toute particularité mise en exergue par FEDRIS, le Tribunal ne dérogera pas aux principes repris aux articles 1050 et 1397 du code judiciaire.</w:t>
      </w:r>
    </w:p>
    <w:p w:rsidR="008C2F8A" w:rsidRDefault="008C2F8A" w:rsidP="008C2F8A">
      <w:pPr>
        <w:tabs>
          <w:tab w:val="left" w:pos="-1440"/>
        </w:tabs>
        <w:snapToGrid w:val="0"/>
        <w:jc w:val="both"/>
        <w:rPr>
          <w:bCs/>
          <w:color w:val="000000"/>
        </w:rPr>
      </w:pPr>
    </w:p>
    <w:p w:rsidR="008C2F8A" w:rsidRDefault="008C2F8A" w:rsidP="008C2F8A">
      <w:pPr>
        <w:tabs>
          <w:tab w:val="left" w:pos="-1440"/>
        </w:tabs>
        <w:snapToGrid w:val="0"/>
        <w:jc w:val="both"/>
        <w:rPr>
          <w:rFonts w:cs="Times New Roman"/>
          <w:bCs/>
        </w:rPr>
      </w:pPr>
      <w:r>
        <w:rPr>
          <w:bCs/>
          <w:color w:val="000000"/>
        </w:rPr>
        <w:t xml:space="preserve">Il ne sera, dès lors, pas fait droit à la demande de la partie </w:t>
      </w:r>
      <w:r w:rsidR="00767058">
        <w:rPr>
          <w:bCs/>
          <w:color w:val="000000"/>
        </w:rPr>
        <w:t>défenderesse</w:t>
      </w:r>
      <w:r>
        <w:rPr>
          <w:bCs/>
          <w:color w:val="000000"/>
        </w:rPr>
        <w:t>.</w:t>
      </w:r>
    </w:p>
    <w:p w:rsidR="008C2F8A" w:rsidRPr="008C2F8A" w:rsidRDefault="008C2F8A" w:rsidP="008C2F8A">
      <w:pPr>
        <w:tabs>
          <w:tab w:val="left" w:pos="-1440"/>
        </w:tabs>
        <w:snapToGrid w:val="0"/>
        <w:jc w:val="both"/>
        <w:rPr>
          <w:rFonts w:cs="Times New Roman"/>
          <w:b/>
        </w:rPr>
      </w:pPr>
    </w:p>
    <w:p w:rsidR="008C2F8A" w:rsidRPr="008C2F8A" w:rsidRDefault="008C2F8A" w:rsidP="008C2F8A">
      <w:pPr>
        <w:tabs>
          <w:tab w:val="left" w:pos="-1440"/>
        </w:tabs>
        <w:snapToGrid w:val="0"/>
        <w:jc w:val="both"/>
        <w:rPr>
          <w:rFonts w:cs="Times New Roman"/>
          <w:b/>
        </w:rPr>
      </w:pPr>
    </w:p>
    <w:p w:rsidR="008C2F8A" w:rsidRPr="008C2F8A" w:rsidRDefault="008C2F8A" w:rsidP="003E5F4D">
      <w:pPr>
        <w:pStyle w:val="Paragraphedeliste"/>
        <w:numPr>
          <w:ilvl w:val="0"/>
          <w:numId w:val="16"/>
        </w:numPr>
        <w:tabs>
          <w:tab w:val="left" w:pos="-1440"/>
        </w:tabs>
        <w:snapToGrid w:val="0"/>
        <w:jc w:val="both"/>
        <w:rPr>
          <w:rFonts w:cs="Times New Roman"/>
          <w:b/>
        </w:rPr>
      </w:pPr>
      <w:r w:rsidRPr="008C2F8A">
        <w:rPr>
          <w:rFonts w:cs="Times New Roman"/>
          <w:b/>
        </w:rPr>
        <w:t>L’autorisation de payer directement l’état de frais et honoraires du(des) sapiteur(s) désigné(s).</w:t>
      </w:r>
    </w:p>
    <w:p w:rsidR="008C2F8A" w:rsidRPr="008C2F8A" w:rsidRDefault="008C2F8A" w:rsidP="008C2F8A">
      <w:pPr>
        <w:tabs>
          <w:tab w:val="left" w:pos="-1440"/>
        </w:tabs>
        <w:snapToGrid w:val="0"/>
        <w:jc w:val="both"/>
        <w:rPr>
          <w:rFonts w:cs="Times New Roman"/>
          <w:b/>
        </w:rPr>
      </w:pPr>
    </w:p>
    <w:p w:rsidR="008C2F8A" w:rsidRDefault="008C2F8A" w:rsidP="008C2F8A">
      <w:pPr>
        <w:tabs>
          <w:tab w:val="left" w:pos="-1440"/>
        </w:tabs>
        <w:snapToGrid w:val="0"/>
        <w:jc w:val="both"/>
        <w:rPr>
          <w:rFonts w:cs="Times New Roman"/>
          <w:bCs/>
          <w:lang w:val="fr-FR"/>
        </w:rPr>
      </w:pPr>
      <w:r>
        <w:rPr>
          <w:rFonts w:cs="Times New Roman"/>
          <w:bCs/>
          <w:lang w:val="fr-FR"/>
        </w:rPr>
        <w:t xml:space="preserve">Le tribunal estime </w:t>
      </w:r>
      <w:r w:rsidRPr="009E3A63">
        <w:rPr>
          <w:rFonts w:cs="Times New Roman"/>
          <w:bCs/>
          <w:lang w:val="fr-FR"/>
        </w:rPr>
        <w:t xml:space="preserve">devoir attirer l’attention de </w:t>
      </w:r>
      <w:r>
        <w:rPr>
          <w:rFonts w:cs="Times New Roman"/>
          <w:bCs/>
          <w:lang w:val="fr-FR"/>
        </w:rPr>
        <w:t xml:space="preserve">la partie intervenante volontaire et ultérieurement de </w:t>
      </w:r>
      <w:r w:rsidRPr="009E3A63">
        <w:rPr>
          <w:rFonts w:cs="Times New Roman"/>
          <w:bCs/>
          <w:lang w:val="fr-FR"/>
        </w:rPr>
        <w:t>l’expert</w:t>
      </w:r>
      <w:r>
        <w:rPr>
          <w:rFonts w:cs="Times New Roman"/>
          <w:bCs/>
          <w:lang w:val="fr-FR"/>
        </w:rPr>
        <w:t xml:space="preserve"> judiciaire</w:t>
      </w:r>
      <w:r w:rsidRPr="009E3A63">
        <w:rPr>
          <w:rFonts w:cs="Times New Roman"/>
          <w:bCs/>
          <w:lang w:val="fr-FR"/>
        </w:rPr>
        <w:t xml:space="preserve"> sur les textes composant la section VI intitulée « L’expertise » du Chapitre VIII, Titre III, Livre II de la Quatrième partie du Code judiciaire et sur le texte de l’article 509</w:t>
      </w:r>
      <w:r w:rsidRPr="009E3A63">
        <w:rPr>
          <w:rFonts w:cs="Times New Roman"/>
          <w:bCs/>
          <w:i/>
          <w:iCs/>
          <w:lang w:val="fr-FR"/>
        </w:rPr>
        <w:t>quater</w:t>
      </w:r>
      <w:r w:rsidRPr="009E3A63">
        <w:rPr>
          <w:rFonts w:cs="Times New Roman"/>
          <w:bCs/>
          <w:lang w:val="fr-FR"/>
        </w:rPr>
        <w:t xml:space="preserve"> du Code pénal qui dispose que « </w:t>
      </w:r>
      <w:r w:rsidRPr="00B04271">
        <w:rPr>
          <w:rFonts w:cs="Times New Roman"/>
          <w:bCs/>
          <w:i/>
          <w:lang w:val="fr-FR"/>
        </w:rPr>
        <w:t>Sera puni d’un emprisonnement de huit jours à trois mois et d’une amende de deux cents euros à quinze cents euros, ou d’une de ces peines seulement, l’expert qui, sachant qu’un paiement direct n’est pas autorisé, l’accepte malgré tout d’une partie à la cause</w:t>
      </w:r>
      <w:r w:rsidRPr="009E3A63">
        <w:rPr>
          <w:rFonts w:cs="Times New Roman"/>
          <w:bCs/>
          <w:lang w:val="fr-FR"/>
        </w:rPr>
        <w:t> »</w:t>
      </w:r>
      <w:r>
        <w:rPr>
          <w:rFonts w:cs="Times New Roman"/>
          <w:bCs/>
          <w:lang w:val="fr-FR"/>
        </w:rPr>
        <w:t>.</w:t>
      </w:r>
    </w:p>
    <w:p w:rsidR="008C2F8A" w:rsidRDefault="008C2F8A" w:rsidP="008C2F8A">
      <w:pPr>
        <w:tabs>
          <w:tab w:val="left" w:pos="-1440"/>
        </w:tabs>
        <w:snapToGrid w:val="0"/>
        <w:jc w:val="both"/>
        <w:rPr>
          <w:rFonts w:cs="Times New Roman"/>
          <w:bCs/>
          <w:lang w:val="fr-FR"/>
        </w:rPr>
      </w:pPr>
    </w:p>
    <w:p w:rsidR="008C2F8A" w:rsidRDefault="008C2F8A" w:rsidP="008C2F8A">
      <w:pPr>
        <w:tabs>
          <w:tab w:val="left" w:pos="-1440"/>
        </w:tabs>
        <w:snapToGrid w:val="0"/>
        <w:jc w:val="both"/>
        <w:rPr>
          <w:rFonts w:cs="Times New Roman"/>
          <w:bCs/>
          <w:lang w:val="fr-FR"/>
        </w:rPr>
      </w:pPr>
      <w:r>
        <w:rPr>
          <w:rFonts w:cs="Times New Roman"/>
          <w:bCs/>
          <w:lang w:val="fr-FR"/>
        </w:rPr>
        <w:t>Aussi, le tribunal refuse de faire droit à la demande visant à permettre à la partie défenderesse de payer directement au(x) sapiteur(s) désigné(s) ainsi qu’à l’expert judiciaire l’état de frais et honoraires sollicité.</w:t>
      </w:r>
    </w:p>
    <w:p w:rsidR="008C2F8A" w:rsidRDefault="008C2F8A" w:rsidP="008C2F8A">
      <w:pPr>
        <w:tabs>
          <w:tab w:val="left" w:pos="-1440"/>
        </w:tabs>
        <w:snapToGrid w:val="0"/>
        <w:jc w:val="both"/>
        <w:rPr>
          <w:rFonts w:cs="Times New Roman"/>
          <w:bCs/>
          <w:lang w:val="fr-FR"/>
        </w:rPr>
      </w:pPr>
    </w:p>
    <w:p w:rsidR="008C2F8A" w:rsidRPr="00CA77CF" w:rsidRDefault="008C2F8A" w:rsidP="008C2F8A">
      <w:pPr>
        <w:tabs>
          <w:tab w:val="left" w:pos="-1440"/>
        </w:tabs>
        <w:snapToGrid w:val="0"/>
        <w:jc w:val="both"/>
        <w:rPr>
          <w:rFonts w:cs="Times New Roman"/>
          <w:lang w:val="fr-FR"/>
        </w:rPr>
      </w:pPr>
      <w:r w:rsidRPr="00CA77CF">
        <w:rPr>
          <w:rFonts w:cs="Times New Roman"/>
          <w:bCs/>
          <w:lang w:val="fr-FR"/>
        </w:rPr>
        <w:t>Par ailleurs, le tribunal précise qu’</w:t>
      </w:r>
      <w:r w:rsidRPr="00CA77CF">
        <w:rPr>
          <w:rFonts w:cs="Times New Roman"/>
          <w:lang w:val="fr-FR"/>
        </w:rPr>
        <w:t xml:space="preserve">à défaut d’une contestation de l’état des frais et honoraires de l’expert </w:t>
      </w:r>
      <w:r w:rsidRPr="00CA77CF">
        <w:rPr>
          <w:rFonts w:cs="Times New Roman"/>
          <w:b/>
          <w:u w:val="single"/>
          <w:lang w:val="fr-FR"/>
        </w:rPr>
        <w:t>détaillé conformément à l’article 990 du Code judiciaire</w:t>
      </w:r>
      <w:r w:rsidRPr="00CA77CF">
        <w:rPr>
          <w:rFonts w:cs="Times New Roman"/>
          <w:lang w:val="fr-FR"/>
        </w:rPr>
        <w:t xml:space="preserve"> dans les 30 jours du dépôt de celui-ci au greffe, son état pourra être taxé d’office.</w:t>
      </w:r>
    </w:p>
    <w:p w:rsidR="008C2F8A" w:rsidRPr="00CA77CF" w:rsidRDefault="008C2F8A" w:rsidP="008C2F8A">
      <w:pPr>
        <w:tabs>
          <w:tab w:val="left" w:pos="-1440"/>
        </w:tabs>
        <w:snapToGrid w:val="0"/>
        <w:jc w:val="both"/>
        <w:rPr>
          <w:rFonts w:cs="Times New Roman"/>
          <w:lang w:val="fr-FR"/>
        </w:rPr>
      </w:pPr>
      <w:r w:rsidRPr="00CA77CF">
        <w:rPr>
          <w:rFonts w:cs="Times New Roman"/>
          <w:lang w:val="fr-FR"/>
        </w:rPr>
        <w:t>Cet état de frais et honoraires comprendra le détail des sommes réclamées par les sapiteurs.</w:t>
      </w:r>
    </w:p>
    <w:p w:rsidR="008C2F8A" w:rsidRPr="00CA77CF" w:rsidRDefault="008C2F8A" w:rsidP="008C2F8A">
      <w:pPr>
        <w:tabs>
          <w:tab w:val="left" w:pos="-1440"/>
        </w:tabs>
        <w:snapToGrid w:val="0"/>
        <w:jc w:val="both"/>
        <w:rPr>
          <w:rFonts w:cs="Times New Roman"/>
          <w:lang w:val="fr-FR"/>
        </w:rPr>
      </w:pPr>
    </w:p>
    <w:p w:rsidR="008C2F8A" w:rsidRPr="00CA77CF" w:rsidRDefault="008C2F8A" w:rsidP="008C2F8A">
      <w:pPr>
        <w:rPr>
          <w:rFonts w:cs="Times New Roman"/>
          <w:i/>
        </w:rPr>
      </w:pPr>
      <w:r w:rsidRPr="00CA77CF">
        <w:rPr>
          <w:rFonts w:cs="Times New Roman"/>
        </w:rPr>
        <w:t xml:space="preserve">Enfin, l'article 7 de l'arrêté royal du 25 avril 2017 fixant le code de déontologie des experts judiciaires en application de l'article 991quater, 7°, du Code judiciaire prévoit : </w:t>
      </w:r>
      <w:r w:rsidRPr="00CA77CF">
        <w:rPr>
          <w:rFonts w:cs="Times New Roman"/>
          <w:i/>
          <w:noProof/>
          <w:lang w:val="en-GB" w:eastAsia="en-GB"/>
        </w:rPr>
        <w:drawing>
          <wp:anchor distT="0" distB="0" distL="114300" distR="114300" simplePos="0" relativeHeight="251661312" behindDoc="0" locked="0" layoutInCell="1" allowOverlap="0" wp14:anchorId="763F5157" wp14:editId="76205ED4">
            <wp:simplePos x="0" y="0"/>
            <wp:positionH relativeFrom="page">
              <wp:posOffset>6511290</wp:posOffset>
            </wp:positionH>
            <wp:positionV relativeFrom="page">
              <wp:posOffset>5467985</wp:posOffset>
            </wp:positionV>
            <wp:extent cx="4445" cy="444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7CF">
        <w:rPr>
          <w:rFonts w:cs="Times New Roman"/>
          <w:i/>
          <w:noProof/>
          <w:lang w:val="en-GB" w:eastAsia="en-GB"/>
        </w:rPr>
        <w:drawing>
          <wp:anchor distT="0" distB="0" distL="114300" distR="114300" simplePos="0" relativeHeight="251662336" behindDoc="0" locked="0" layoutInCell="1" allowOverlap="0" wp14:anchorId="52E2DE54" wp14:editId="64782B55">
            <wp:simplePos x="0" y="0"/>
            <wp:positionH relativeFrom="page">
              <wp:posOffset>6511290</wp:posOffset>
            </wp:positionH>
            <wp:positionV relativeFrom="page">
              <wp:posOffset>5476875</wp:posOffset>
            </wp:positionV>
            <wp:extent cx="4445" cy="444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7CF">
        <w:rPr>
          <w:rFonts w:cs="Times New Roman"/>
          <w:i/>
        </w:rPr>
        <w:t xml:space="preserve">L'expert judiciaire ne fera appel à des sapiteurs ou des experts du domaine dont les Connaissances techniques lui sont nécessaires pour réaliser son expertise ou parvenir à des conclusions qu'après avoir obtenu l'autorisation préalable de </w:t>
      </w:r>
      <w:r w:rsidRPr="00CA77CF">
        <w:rPr>
          <w:rFonts w:cs="Times New Roman"/>
          <w:i/>
          <w:noProof/>
          <w:lang w:val="en-GB" w:eastAsia="en-GB"/>
        </w:rPr>
        <w:drawing>
          <wp:inline distT="0" distB="0" distL="0" distR="0" wp14:anchorId="71234E84" wp14:editId="72881AB5">
            <wp:extent cx="47625" cy="571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57150"/>
                    </a:xfrm>
                    <a:prstGeom prst="rect">
                      <a:avLst/>
                    </a:prstGeom>
                    <a:noFill/>
                    <a:ln>
                      <a:noFill/>
                    </a:ln>
                  </pic:spPr>
                </pic:pic>
              </a:graphicData>
            </a:graphic>
          </wp:inline>
        </w:drawing>
      </w:r>
      <w:r w:rsidRPr="00CA77CF">
        <w:rPr>
          <w:rFonts w:cs="Times New Roman"/>
          <w:i/>
        </w:rPr>
        <w:t>l'autorité mandante, et en matière civile conformément à l'article 972, § 2, alinéa 7, 3°, du Code judiciaire. Les sapiteurs ou experts du domaine opèrent sous la responsabilité de l'expert. En matière civile, leurs frais et honoraires sont réglés par l'expert. »</w:t>
      </w:r>
    </w:p>
    <w:p w:rsidR="008C2F8A" w:rsidRPr="00CA77CF" w:rsidRDefault="008C2F8A" w:rsidP="008C2F8A">
      <w:pPr>
        <w:ind w:left="-851"/>
        <w:rPr>
          <w:rFonts w:cs="Times New Roman"/>
        </w:rPr>
      </w:pPr>
    </w:p>
    <w:p w:rsidR="008C2F8A" w:rsidRPr="00CA77CF" w:rsidRDefault="008C2F8A" w:rsidP="008C2F8A">
      <w:pPr>
        <w:ind w:left="-851" w:firstLine="851"/>
        <w:rPr>
          <w:rFonts w:cs="Times New Roman"/>
        </w:rPr>
      </w:pPr>
      <w:r w:rsidRPr="00CA77CF">
        <w:rPr>
          <w:rFonts w:cs="Times New Roman"/>
        </w:rPr>
        <w:t xml:space="preserve">Dès lors, dans le but de maintenir la parfaite indépendance des sapiteurs à l'égard des </w:t>
      </w:r>
    </w:p>
    <w:p w:rsidR="008C2F8A" w:rsidRPr="00CA77CF" w:rsidRDefault="008C2F8A" w:rsidP="008C2F8A">
      <w:pPr>
        <w:ind w:left="-851" w:firstLine="851"/>
        <w:rPr>
          <w:rFonts w:cs="Times New Roman"/>
        </w:rPr>
      </w:pPr>
      <w:r w:rsidRPr="00CA77CF">
        <w:rPr>
          <w:rFonts w:cs="Times New Roman"/>
        </w:rPr>
        <w:t xml:space="preserve">parties, </w:t>
      </w:r>
      <w:r w:rsidRPr="00CA77CF">
        <w:rPr>
          <w:rFonts w:cs="Times New Roman"/>
          <w:noProof/>
          <w:lang w:val="en-GB" w:eastAsia="en-GB"/>
        </w:rPr>
        <w:drawing>
          <wp:inline distT="0" distB="0" distL="0" distR="0" wp14:anchorId="6A757C3A" wp14:editId="382B9B42">
            <wp:extent cx="9525" cy="9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77CF">
        <w:rPr>
          <w:rFonts w:cs="Times New Roman"/>
        </w:rPr>
        <w:t>c'est à l'expert qu'ils doivent adresser leurs états de frais et honoraires.</w:t>
      </w:r>
    </w:p>
    <w:p w:rsidR="008C2F8A" w:rsidRDefault="008C2F8A" w:rsidP="008C2F8A">
      <w:pPr>
        <w:tabs>
          <w:tab w:val="left" w:pos="-1440"/>
        </w:tabs>
        <w:snapToGrid w:val="0"/>
        <w:jc w:val="both"/>
        <w:rPr>
          <w:rFonts w:cs="Times New Roman"/>
        </w:rPr>
      </w:pPr>
      <w:r w:rsidRPr="00CA77CF">
        <w:rPr>
          <w:rFonts w:cs="Times New Roman"/>
        </w:rPr>
        <w:t xml:space="preserve">Le tribunal prévoit d'ailleurs la consignation d'une provision mise à disposition de l'expert, notamment pour pouvoir payer les états de frais et honoraires d'éventuels </w:t>
      </w:r>
      <w:r w:rsidRPr="00CA77CF">
        <w:rPr>
          <w:rFonts w:cs="Times New Roman"/>
          <w:noProof/>
          <w:lang w:val="en-GB" w:eastAsia="en-GB"/>
        </w:rPr>
        <w:drawing>
          <wp:inline distT="0" distB="0" distL="0" distR="0" wp14:anchorId="7BEFF2D0" wp14:editId="3F430C79">
            <wp:extent cx="9525"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77CF">
        <w:rPr>
          <w:rFonts w:cs="Times New Roman"/>
        </w:rPr>
        <w:t>sapiteurs auxquels il estimerait utile de recourir.</w:t>
      </w:r>
    </w:p>
    <w:p w:rsidR="008C2F8A" w:rsidRDefault="008C2F8A" w:rsidP="008C2F8A">
      <w:pPr>
        <w:pStyle w:val="Paragraphedeliste"/>
        <w:tabs>
          <w:tab w:val="left" w:pos="-1440"/>
        </w:tabs>
        <w:snapToGrid w:val="0"/>
        <w:jc w:val="both"/>
        <w:rPr>
          <w:rFonts w:cs="Times New Roman"/>
          <w:b/>
          <w:lang w:val="fr-FR"/>
        </w:rPr>
      </w:pPr>
    </w:p>
    <w:p w:rsidR="007922C0" w:rsidRPr="003A03EA" w:rsidRDefault="007922C0" w:rsidP="007922C0">
      <w:pPr>
        <w:tabs>
          <w:tab w:val="left" w:pos="-1440"/>
        </w:tabs>
        <w:snapToGrid w:val="0"/>
        <w:jc w:val="both"/>
        <w:rPr>
          <w:rFonts w:cs="Times New Roman"/>
          <w:b/>
          <w:bCs/>
        </w:rPr>
      </w:pPr>
      <w:r w:rsidRPr="003A03EA">
        <w:rPr>
          <w:rFonts w:cs="Times New Roman"/>
          <w:b/>
          <w:bCs/>
        </w:rPr>
        <w:t> </w:t>
      </w:r>
      <w:r w:rsidRPr="003A03EA">
        <w:rPr>
          <w:rFonts w:cs="Times New Roman"/>
          <w:b/>
          <w:bCs/>
        </w:rPr>
        <w:tab/>
      </w:r>
    </w:p>
    <w:p w:rsidR="007922C0" w:rsidRPr="003A03EA" w:rsidRDefault="007922C0" w:rsidP="007922C0">
      <w:pPr>
        <w:tabs>
          <w:tab w:val="left" w:pos="-1440"/>
        </w:tabs>
        <w:snapToGrid w:val="0"/>
        <w:jc w:val="center"/>
        <w:rPr>
          <w:rFonts w:cs="Times New Roman"/>
          <w:b/>
          <w:lang w:val="fr-FR"/>
        </w:rPr>
      </w:pPr>
      <w:r w:rsidRPr="003A03EA">
        <w:rPr>
          <w:rFonts w:cs="Times New Roman"/>
          <w:b/>
          <w:lang w:val="fr-FR"/>
        </w:rPr>
        <w:t>PAR CES MOTIFS,</w:t>
      </w:r>
    </w:p>
    <w:p w:rsidR="007922C0" w:rsidRPr="003A03EA" w:rsidRDefault="007922C0" w:rsidP="007922C0">
      <w:pPr>
        <w:tabs>
          <w:tab w:val="left" w:pos="-1440"/>
        </w:tabs>
        <w:snapToGrid w:val="0"/>
        <w:jc w:val="both"/>
        <w:rPr>
          <w:rFonts w:cs="Times New Roman"/>
          <w:b/>
          <w:lang w:val="fr-FR"/>
        </w:rPr>
      </w:pPr>
    </w:p>
    <w:p w:rsidR="007922C0" w:rsidRPr="003A03EA" w:rsidRDefault="007922C0" w:rsidP="007922C0">
      <w:pPr>
        <w:tabs>
          <w:tab w:val="left" w:pos="-1440"/>
        </w:tabs>
        <w:snapToGrid w:val="0"/>
        <w:jc w:val="both"/>
        <w:rPr>
          <w:rFonts w:cs="Times New Roman"/>
          <w:bCs/>
          <w:lang w:val="fr-FR"/>
        </w:rPr>
      </w:pPr>
      <w:r w:rsidRPr="003A03EA">
        <w:rPr>
          <w:rFonts w:cs="Times New Roman"/>
          <w:b/>
          <w:lang w:val="fr-FR"/>
        </w:rPr>
        <w:t xml:space="preserve">LE TRIBUNAL, </w:t>
      </w:r>
      <w:r w:rsidRPr="003A03EA">
        <w:rPr>
          <w:rFonts w:cs="Times New Roman"/>
          <w:bCs/>
          <w:lang w:val="fr-FR"/>
        </w:rPr>
        <w:t>après en avoir délibéré ;</w:t>
      </w:r>
    </w:p>
    <w:p w:rsidR="007922C0" w:rsidRPr="003A03EA" w:rsidRDefault="007922C0" w:rsidP="007922C0">
      <w:pPr>
        <w:tabs>
          <w:tab w:val="left" w:pos="-1440"/>
        </w:tabs>
        <w:snapToGrid w:val="0"/>
        <w:jc w:val="both"/>
        <w:rPr>
          <w:rFonts w:cs="Times New Roman"/>
          <w:b/>
          <w:lang w:val="fr-FR"/>
        </w:rPr>
      </w:pPr>
    </w:p>
    <w:p w:rsidR="007922C0" w:rsidRPr="003A03EA" w:rsidRDefault="007922C0" w:rsidP="007922C0">
      <w:pPr>
        <w:tabs>
          <w:tab w:val="left" w:pos="-1440"/>
        </w:tabs>
        <w:snapToGrid w:val="0"/>
        <w:jc w:val="both"/>
        <w:rPr>
          <w:rFonts w:cs="Times New Roman"/>
          <w:bCs/>
          <w:lang w:val="fr-FR"/>
        </w:rPr>
      </w:pPr>
      <w:r w:rsidRPr="003A03EA">
        <w:rPr>
          <w:rFonts w:cs="Times New Roman"/>
          <w:b/>
          <w:lang w:val="fr-FR"/>
        </w:rPr>
        <w:t xml:space="preserve">STATUANT </w:t>
      </w:r>
      <w:r w:rsidRPr="003A03EA">
        <w:rPr>
          <w:rFonts w:cs="Times New Roman"/>
          <w:bCs/>
          <w:lang w:val="fr-FR"/>
        </w:rPr>
        <w:t>publiquement, contradictoirement;</w:t>
      </w:r>
    </w:p>
    <w:p w:rsidR="007922C0" w:rsidRPr="003A03EA" w:rsidRDefault="007922C0" w:rsidP="007922C0">
      <w:pPr>
        <w:tabs>
          <w:tab w:val="left" w:pos="-1440"/>
        </w:tabs>
        <w:snapToGrid w:val="0"/>
        <w:jc w:val="both"/>
        <w:rPr>
          <w:rFonts w:cs="Times New Roman"/>
          <w:bCs/>
          <w:lang w:val="fr-FR"/>
        </w:rPr>
      </w:pPr>
    </w:p>
    <w:p w:rsidR="007922C0" w:rsidRPr="003A03EA" w:rsidRDefault="007922C0" w:rsidP="007922C0">
      <w:pPr>
        <w:tabs>
          <w:tab w:val="left" w:pos="-1440"/>
        </w:tabs>
        <w:snapToGrid w:val="0"/>
        <w:jc w:val="both"/>
        <w:rPr>
          <w:rFonts w:cs="Times New Roman"/>
          <w:lang w:val="fr-FR"/>
        </w:rPr>
      </w:pPr>
      <w:r w:rsidRPr="003A03EA">
        <w:rPr>
          <w:rFonts w:cs="Times New Roman"/>
          <w:b/>
          <w:lang w:val="fr-FR"/>
        </w:rPr>
        <w:t xml:space="preserve">DIT </w:t>
      </w:r>
      <w:r w:rsidRPr="003A03EA">
        <w:rPr>
          <w:rFonts w:cs="Times New Roman"/>
          <w:lang w:val="fr-FR"/>
        </w:rPr>
        <w:t>l'action recevable;</w:t>
      </w:r>
    </w:p>
    <w:p w:rsidR="007922C0" w:rsidRPr="003A03EA" w:rsidRDefault="007922C0" w:rsidP="007922C0">
      <w:pPr>
        <w:tabs>
          <w:tab w:val="left" w:pos="-1440"/>
        </w:tabs>
        <w:snapToGrid w:val="0"/>
        <w:jc w:val="both"/>
        <w:rPr>
          <w:rFonts w:cs="Times New Roman"/>
          <w:lang w:val="fr-FR"/>
        </w:rPr>
      </w:pPr>
    </w:p>
    <w:p w:rsidR="007922C0" w:rsidRPr="003A03EA" w:rsidRDefault="007922C0" w:rsidP="007922C0">
      <w:pPr>
        <w:tabs>
          <w:tab w:val="left" w:pos="-1440"/>
        </w:tabs>
        <w:snapToGrid w:val="0"/>
        <w:jc w:val="both"/>
        <w:rPr>
          <w:rFonts w:cs="Times New Roman"/>
          <w:lang w:val="fr-FR"/>
        </w:rPr>
      </w:pPr>
      <w:r w:rsidRPr="003A03EA">
        <w:rPr>
          <w:rFonts w:cs="Times New Roman"/>
          <w:b/>
          <w:lang w:val="fr-FR"/>
        </w:rPr>
        <w:t xml:space="preserve">DIT </w:t>
      </w:r>
      <w:r w:rsidRPr="003A03EA">
        <w:rPr>
          <w:rFonts w:cs="Times New Roman"/>
          <w:lang w:val="fr-FR"/>
        </w:rPr>
        <w:t>y avoir lieu à rapport d'expert ;</w:t>
      </w:r>
    </w:p>
    <w:p w:rsidR="007922C0" w:rsidRPr="003A03EA" w:rsidRDefault="007922C0" w:rsidP="007922C0">
      <w:pPr>
        <w:tabs>
          <w:tab w:val="left" w:pos="-1440"/>
        </w:tabs>
        <w:snapToGrid w:val="0"/>
        <w:jc w:val="both"/>
        <w:rPr>
          <w:rFonts w:cs="Times New Roman"/>
          <w:b/>
          <w:lang w:val="fr-FR"/>
        </w:rPr>
      </w:pPr>
    </w:p>
    <w:p w:rsidR="007922C0" w:rsidRPr="003A03EA" w:rsidRDefault="007922C0" w:rsidP="007922C0">
      <w:pPr>
        <w:tabs>
          <w:tab w:val="left" w:pos="-1440"/>
        </w:tabs>
        <w:snapToGrid w:val="0"/>
        <w:jc w:val="both"/>
        <w:rPr>
          <w:rFonts w:cs="Times New Roman"/>
          <w:lang w:val="fr-FR"/>
        </w:rPr>
      </w:pPr>
      <w:r w:rsidRPr="003A03EA">
        <w:rPr>
          <w:rFonts w:cs="Times New Roman"/>
          <w:lang w:val="fr-FR"/>
        </w:rPr>
        <w:t xml:space="preserve">Avant de statuer plus avant en la cause, tous droits saufs et réservés des parties quant à ce, </w:t>
      </w:r>
      <w:r w:rsidRPr="003A03EA">
        <w:rPr>
          <w:rFonts w:cs="Times New Roman"/>
          <w:b/>
          <w:bCs/>
          <w:lang w:val="fr-FR"/>
        </w:rPr>
        <w:t>DESIGNE</w:t>
      </w:r>
      <w:r w:rsidRPr="003A03EA">
        <w:rPr>
          <w:rFonts w:cs="Times New Roman"/>
          <w:lang w:val="fr-FR"/>
        </w:rPr>
        <w:t xml:space="preserve"> en qualité d’expert</w:t>
      </w:r>
      <w:r w:rsidRPr="003A03EA">
        <w:rPr>
          <w:rFonts w:cs="Times New Roman"/>
          <w:bCs/>
          <w:lang w:val="fr-FR"/>
        </w:rPr>
        <w:t xml:space="preserve">, </w:t>
      </w:r>
      <w:r w:rsidR="005A4B6C" w:rsidRPr="005A4B6C">
        <w:rPr>
          <w:rFonts w:cs="Times New Roman"/>
          <w:b/>
          <w:bCs/>
          <w:lang w:val="fr-FR"/>
        </w:rPr>
        <w:t>le Docteur Hélène DENGIS, ayant son cabinet à 4000 LIEGE, Rue Fabry, 18</w:t>
      </w:r>
      <w:r w:rsidR="005A4B6C">
        <w:rPr>
          <w:rFonts w:cs="Times New Roman"/>
          <w:b/>
          <w:bCs/>
          <w:lang w:val="fr-FR"/>
        </w:rPr>
        <w:t>,</w:t>
      </w:r>
      <w:r w:rsidRPr="009F40DC">
        <w:rPr>
          <w:rFonts w:cs="Times New Roman"/>
          <w:b/>
          <w:bCs/>
          <w:lang w:val="fr-FR"/>
        </w:rPr>
        <w:t xml:space="preserve"> </w:t>
      </w:r>
      <w:r w:rsidRPr="003A03EA">
        <w:rPr>
          <w:rFonts w:cs="Times New Roman"/>
          <w:lang w:val="fr-FR"/>
        </w:rPr>
        <w:t xml:space="preserve">lequel aura pour </w:t>
      </w:r>
      <w:r w:rsidRPr="003A03EA">
        <w:rPr>
          <w:rFonts w:cs="Times New Roman"/>
          <w:b/>
          <w:bCs/>
          <w:lang w:val="fr-FR"/>
        </w:rPr>
        <w:t>MISSION</w:t>
      </w:r>
      <w:r w:rsidRPr="003A03EA">
        <w:rPr>
          <w:rFonts w:cs="Times New Roman"/>
          <w:bCs/>
          <w:lang w:val="fr-FR"/>
        </w:rPr>
        <w:t>, conformément aux dispositions des articles 962 et suivants, notamment l’article 991decies, alinéa 2, du Code judiciaire</w:t>
      </w:r>
      <w:r w:rsidRPr="003A03EA">
        <w:rPr>
          <w:rFonts w:cs="Times New Roman"/>
          <w:lang w:val="fr-FR"/>
        </w:rPr>
        <w:t xml:space="preserve"> : </w:t>
      </w:r>
    </w:p>
    <w:p w:rsidR="007922C0" w:rsidRPr="003A03EA" w:rsidRDefault="007922C0" w:rsidP="007922C0">
      <w:pPr>
        <w:tabs>
          <w:tab w:val="left" w:pos="-1440"/>
        </w:tabs>
        <w:snapToGrid w:val="0"/>
        <w:jc w:val="both"/>
        <w:rPr>
          <w:rFonts w:cs="Times New Roman"/>
          <w:b/>
          <w:lang w:val="fr-FR"/>
        </w:rPr>
      </w:pPr>
    </w:p>
    <w:p w:rsidR="007922C0" w:rsidRPr="003A03EA" w:rsidRDefault="007922C0" w:rsidP="007922C0">
      <w:pPr>
        <w:tabs>
          <w:tab w:val="left" w:pos="-1440"/>
        </w:tabs>
        <w:snapToGrid w:val="0"/>
        <w:jc w:val="both"/>
        <w:rPr>
          <w:rFonts w:cs="Times New Roman"/>
          <w:bCs/>
          <w:lang w:val="fr-FR"/>
        </w:rPr>
      </w:pPr>
      <w:r w:rsidRPr="003A03EA">
        <w:rPr>
          <w:rFonts w:cs="Times New Roman"/>
          <w:b/>
          <w:lang w:val="fr-FR"/>
        </w:rPr>
        <w:t>ESTIME</w:t>
      </w:r>
      <w:r w:rsidRPr="003A03EA">
        <w:rPr>
          <w:rFonts w:cs="Times New Roman"/>
          <w:bCs/>
          <w:lang w:val="fr-FR"/>
        </w:rPr>
        <w:t xml:space="preserve"> devoir attirer l’attention de l’expert sur les textes composant la section VI intitulée « L’expertise » du Chapitre VIII, Titre III, Livre II de la Quatrième partie du Code judiciaire et sur le texte de l’article 509</w:t>
      </w:r>
      <w:r w:rsidRPr="003A03EA">
        <w:rPr>
          <w:rFonts w:cs="Times New Roman"/>
          <w:bCs/>
          <w:i/>
          <w:iCs/>
          <w:lang w:val="fr-FR"/>
        </w:rPr>
        <w:t>quater</w:t>
      </w:r>
      <w:r w:rsidRPr="003A03EA">
        <w:rPr>
          <w:rFonts w:cs="Times New Roman"/>
          <w:bCs/>
          <w:lang w:val="fr-FR"/>
        </w:rPr>
        <w:t xml:space="preserve"> du Code pénal qui dispose que « Sera puni d’un emprisonnement de huit jours à trois mois et d’une amende de deux cents euros à quinze cents euros, ou d’une de ces peines seulement, l’expert qui, sachant qu’un paiement direct n’est pas autorisé, l’accepte malgré tout d’une partie à la cause » ;</w:t>
      </w:r>
    </w:p>
    <w:p w:rsidR="007922C0" w:rsidRPr="003A03EA" w:rsidRDefault="007922C0" w:rsidP="007922C0">
      <w:pPr>
        <w:tabs>
          <w:tab w:val="left" w:pos="-1440"/>
        </w:tabs>
        <w:snapToGrid w:val="0"/>
        <w:jc w:val="both"/>
        <w:rPr>
          <w:rFonts w:cs="Times New Roman"/>
          <w:b/>
          <w:lang w:val="fr-FR"/>
        </w:rPr>
      </w:pPr>
    </w:p>
    <w:p w:rsidR="007922C0" w:rsidRPr="003A03EA" w:rsidRDefault="007922C0" w:rsidP="007922C0">
      <w:pPr>
        <w:tabs>
          <w:tab w:val="left" w:pos="-1440"/>
        </w:tabs>
        <w:snapToGrid w:val="0"/>
        <w:jc w:val="both"/>
        <w:rPr>
          <w:rFonts w:cs="Times New Roman"/>
          <w:bCs/>
          <w:lang w:val="fr-FR"/>
        </w:rPr>
      </w:pPr>
      <w:r w:rsidRPr="003A03EA">
        <w:rPr>
          <w:rFonts w:cs="Times New Roman"/>
          <w:b/>
          <w:lang w:val="fr-FR"/>
        </w:rPr>
        <w:t>DIT</w:t>
      </w:r>
      <w:r w:rsidRPr="003A03EA">
        <w:rPr>
          <w:rFonts w:cs="Times New Roman"/>
          <w:bCs/>
          <w:lang w:val="fr-FR"/>
        </w:rPr>
        <w:t xml:space="preserve"> que l’expert aura pour mission, après avoir dûment convoqué les parties, de tenter de les concilier et, si les parties se concilient, de constater leur accord par écrit conformément aux § 1</w:t>
      </w:r>
      <w:r w:rsidRPr="003A03EA">
        <w:rPr>
          <w:rFonts w:cs="Times New Roman"/>
          <w:bCs/>
          <w:vertAlign w:val="superscript"/>
          <w:lang w:val="fr-FR"/>
        </w:rPr>
        <w:t>er</w:t>
      </w:r>
      <w:r w:rsidRPr="003A03EA">
        <w:rPr>
          <w:rFonts w:cs="Times New Roman"/>
          <w:bCs/>
          <w:lang w:val="fr-FR"/>
        </w:rPr>
        <w:t xml:space="preserve"> et 2 de l’article 977 du Code judiciaire ou, à défaut pour celles-ci de s’être conciliées, en s'entourant de tous renseignements et documents utiles et après avoir pris connaissance dans les conditions ordinaires de contradiction, de l'opinion des </w:t>
      </w:r>
      <w:r>
        <w:rPr>
          <w:rFonts w:cs="Times New Roman"/>
          <w:bCs/>
          <w:lang w:val="fr-FR"/>
        </w:rPr>
        <w:t xml:space="preserve">                    </w:t>
      </w:r>
      <w:r w:rsidRPr="003A03EA">
        <w:rPr>
          <w:rFonts w:cs="Times New Roman"/>
          <w:bCs/>
          <w:lang w:val="fr-FR"/>
        </w:rPr>
        <w:t>médecins-conseils de</w:t>
      </w:r>
      <w:r>
        <w:rPr>
          <w:rFonts w:cs="Times New Roman"/>
          <w:bCs/>
          <w:lang w:val="fr-FR"/>
        </w:rPr>
        <w:t>s parties et de leurs dossiers ;</w:t>
      </w:r>
    </w:p>
    <w:p w:rsidR="007922C0" w:rsidRDefault="007922C0" w:rsidP="007922C0">
      <w:pPr>
        <w:tabs>
          <w:tab w:val="left" w:pos="-1440"/>
        </w:tabs>
        <w:snapToGrid w:val="0"/>
        <w:jc w:val="both"/>
        <w:rPr>
          <w:rFonts w:cs="Times New Roman"/>
          <w:lang w:val="fr-FR"/>
        </w:rPr>
      </w:pPr>
    </w:p>
    <w:p w:rsidR="007922C0" w:rsidRPr="003A03EA" w:rsidRDefault="007922C0" w:rsidP="007922C0">
      <w:pPr>
        <w:tabs>
          <w:tab w:val="left" w:pos="-1440"/>
        </w:tabs>
        <w:snapToGrid w:val="0"/>
        <w:jc w:val="both"/>
        <w:rPr>
          <w:rFonts w:cs="Times New Roman"/>
          <w:lang w:val="fr-FR"/>
        </w:rPr>
      </w:pPr>
      <w:r w:rsidRPr="003A03EA">
        <w:rPr>
          <w:rFonts w:cs="Times New Roman"/>
          <w:lang w:val="fr-FR"/>
        </w:rPr>
        <w:t>L’expert judiciaire aura pour mission, en un rapport écrit et motivé :</w:t>
      </w:r>
    </w:p>
    <w:p w:rsidR="007922C0" w:rsidRPr="003A03EA" w:rsidRDefault="007922C0" w:rsidP="007922C0">
      <w:pPr>
        <w:tabs>
          <w:tab w:val="left" w:pos="-1440"/>
        </w:tabs>
        <w:snapToGrid w:val="0"/>
        <w:jc w:val="both"/>
        <w:rPr>
          <w:rFonts w:cs="Times New Roman"/>
          <w:lang w:val="fr-FR"/>
        </w:rPr>
      </w:pPr>
    </w:p>
    <w:p w:rsidR="007922C0" w:rsidRPr="003A03EA" w:rsidRDefault="007922C0" w:rsidP="007922C0">
      <w:pPr>
        <w:numPr>
          <w:ilvl w:val="0"/>
          <w:numId w:val="13"/>
        </w:numPr>
        <w:tabs>
          <w:tab w:val="left" w:pos="-1440"/>
        </w:tabs>
        <w:snapToGrid w:val="0"/>
        <w:jc w:val="both"/>
        <w:rPr>
          <w:rFonts w:cs="Times New Roman"/>
          <w:lang w:val="fr-FR"/>
        </w:rPr>
      </w:pPr>
      <w:r>
        <w:rPr>
          <w:rFonts w:cs="Times New Roman"/>
          <w:lang w:val="fr-FR"/>
        </w:rPr>
        <w:t>D’</w:t>
      </w:r>
      <w:r w:rsidRPr="003A03EA">
        <w:rPr>
          <w:rFonts w:cs="Times New Roman"/>
          <w:lang w:val="fr-FR"/>
        </w:rPr>
        <w:t>examiner la partie demanderesse et de décrire</w:t>
      </w:r>
      <w:r>
        <w:rPr>
          <w:rFonts w:cs="Times New Roman"/>
          <w:lang w:val="fr-FR"/>
        </w:rPr>
        <w:t xml:space="preserve"> la maladie dont elle se plaint ;</w:t>
      </w:r>
    </w:p>
    <w:p w:rsidR="007922C0" w:rsidRPr="003A03EA" w:rsidRDefault="007922C0" w:rsidP="007922C0">
      <w:pPr>
        <w:tabs>
          <w:tab w:val="left" w:pos="-1440"/>
        </w:tabs>
        <w:snapToGrid w:val="0"/>
        <w:jc w:val="both"/>
        <w:rPr>
          <w:rFonts w:cs="Times New Roman"/>
          <w:lang w:val="fr-FR"/>
        </w:rPr>
      </w:pPr>
    </w:p>
    <w:p w:rsidR="007922C0" w:rsidRPr="003A03EA" w:rsidRDefault="00B54313" w:rsidP="007922C0">
      <w:pPr>
        <w:numPr>
          <w:ilvl w:val="0"/>
          <w:numId w:val="13"/>
        </w:numPr>
        <w:tabs>
          <w:tab w:val="left" w:pos="-1440"/>
        </w:tabs>
        <w:snapToGrid w:val="0"/>
        <w:jc w:val="both"/>
        <w:rPr>
          <w:rFonts w:cs="Times New Roman"/>
          <w:lang w:val="fr-FR"/>
        </w:rPr>
      </w:pPr>
      <w:r>
        <w:rPr>
          <w:rFonts w:cs="Times New Roman"/>
          <w:bCs/>
          <w:lang w:val="fr-FR"/>
        </w:rPr>
        <w:t>D</w:t>
      </w:r>
      <w:r w:rsidR="007922C0" w:rsidRPr="003A03EA">
        <w:rPr>
          <w:rFonts w:cs="Times New Roman"/>
          <w:bCs/>
          <w:lang w:val="fr-FR"/>
        </w:rPr>
        <w:t>e</w:t>
      </w:r>
      <w:r w:rsidR="007922C0" w:rsidRPr="003A03EA">
        <w:rPr>
          <w:rFonts w:cs="Times New Roman"/>
          <w:lang w:val="fr-FR"/>
        </w:rPr>
        <w:t xml:space="preserve"> préciser dans quelle mesure la partie demanderesse atteinte d’une maladie professionnelle réparable à ce titre présente une </w:t>
      </w:r>
      <w:r w:rsidR="007922C0" w:rsidRPr="00B1347E">
        <w:rPr>
          <w:rFonts w:cs="Times New Roman"/>
          <w:b/>
          <w:bCs/>
          <w:lang w:val="fr-FR"/>
        </w:rPr>
        <w:t>aggravation</w:t>
      </w:r>
      <w:r>
        <w:rPr>
          <w:rFonts w:cs="Times New Roman"/>
          <w:b/>
          <w:bCs/>
          <w:lang w:val="fr-FR"/>
        </w:rPr>
        <w:t xml:space="preserve"> ou une amélioration</w:t>
      </w:r>
      <w:r w:rsidR="007922C0" w:rsidRPr="003A03EA">
        <w:rPr>
          <w:rFonts w:cs="Times New Roman"/>
          <w:bCs/>
          <w:lang w:val="fr-FR"/>
        </w:rPr>
        <w:t xml:space="preserve"> </w:t>
      </w:r>
      <w:r w:rsidR="007922C0" w:rsidRPr="003A03EA">
        <w:rPr>
          <w:rFonts w:cs="Times New Roman"/>
          <w:lang w:val="fr-FR"/>
        </w:rPr>
        <w:t>de cette maladie</w:t>
      </w:r>
      <w:r w:rsidR="007922C0">
        <w:rPr>
          <w:rFonts w:cs="Times New Roman"/>
          <w:lang w:val="fr-FR"/>
        </w:rPr>
        <w:t xml:space="preserve"> </w:t>
      </w:r>
      <w:r w:rsidR="007922C0" w:rsidRPr="003A03EA">
        <w:rPr>
          <w:rFonts w:cs="Times New Roman"/>
          <w:lang w:val="fr-FR"/>
        </w:rPr>
        <w:t>;</w:t>
      </w:r>
    </w:p>
    <w:p w:rsidR="007922C0" w:rsidRPr="003A03EA" w:rsidRDefault="007922C0" w:rsidP="007922C0">
      <w:pPr>
        <w:tabs>
          <w:tab w:val="left" w:pos="-1440"/>
        </w:tabs>
        <w:snapToGrid w:val="0"/>
        <w:jc w:val="both"/>
        <w:rPr>
          <w:rFonts w:cs="Times New Roman"/>
          <w:lang w:val="fr-FR"/>
        </w:rPr>
      </w:pPr>
    </w:p>
    <w:p w:rsidR="007922C0" w:rsidRPr="003A03EA" w:rsidRDefault="00B54313" w:rsidP="007922C0">
      <w:pPr>
        <w:numPr>
          <w:ilvl w:val="0"/>
          <w:numId w:val="13"/>
        </w:numPr>
        <w:tabs>
          <w:tab w:val="left" w:pos="-1440"/>
        </w:tabs>
        <w:snapToGrid w:val="0"/>
        <w:jc w:val="both"/>
        <w:rPr>
          <w:rFonts w:cs="Times New Roman"/>
          <w:lang w:val="fr-FR"/>
        </w:rPr>
      </w:pPr>
      <w:r>
        <w:rPr>
          <w:rFonts w:cs="Times New Roman"/>
          <w:lang w:val="fr-FR"/>
        </w:rPr>
        <w:t>Du</w:t>
      </w:r>
      <w:r w:rsidR="007922C0" w:rsidRPr="003A03EA">
        <w:rPr>
          <w:rFonts w:cs="Times New Roman"/>
          <w:lang w:val="fr-FR"/>
        </w:rPr>
        <w:t xml:space="preserve"> point de vue médical, sachant que le taux d’incapacité initialement retenu est </w:t>
      </w:r>
      <w:r w:rsidR="007922C0" w:rsidRPr="009B44CB">
        <w:rPr>
          <w:rFonts w:cs="Times New Roman"/>
          <w:lang w:val="fr-FR"/>
        </w:rPr>
        <w:t xml:space="preserve">de </w:t>
      </w:r>
      <w:r w:rsidR="007922C0" w:rsidRPr="009B44CB">
        <w:rPr>
          <w:rFonts w:cs="Times New Roman"/>
          <w:b/>
          <w:lang w:val="fr-FR"/>
        </w:rPr>
        <w:t>0</w:t>
      </w:r>
      <w:r w:rsidR="009B44CB" w:rsidRPr="009B44CB">
        <w:rPr>
          <w:rFonts w:cs="Times New Roman"/>
          <w:b/>
          <w:lang w:val="fr-FR"/>
        </w:rPr>
        <w:t>6</w:t>
      </w:r>
      <w:r w:rsidR="007922C0" w:rsidRPr="009B44CB">
        <w:rPr>
          <w:rFonts w:cs="Times New Roman"/>
          <w:b/>
          <w:lang w:val="fr-FR"/>
        </w:rPr>
        <w:t>%</w:t>
      </w:r>
      <w:r w:rsidR="007922C0" w:rsidRPr="009B44CB">
        <w:rPr>
          <w:rFonts w:cs="Times New Roman"/>
          <w:lang w:val="fr-FR"/>
        </w:rPr>
        <w:t xml:space="preserve"> pour</w:t>
      </w:r>
      <w:r w:rsidR="007922C0" w:rsidRPr="003A03EA">
        <w:rPr>
          <w:rFonts w:cs="Times New Roman"/>
          <w:lang w:val="fr-FR"/>
        </w:rPr>
        <w:t xml:space="preserve"> l’incapacité purement physique, fixer l</w:t>
      </w:r>
      <w:r>
        <w:rPr>
          <w:rFonts w:cs="Times New Roman"/>
          <w:lang w:val="fr-FR"/>
        </w:rPr>
        <w:t>e</w:t>
      </w:r>
      <w:r w:rsidR="007922C0" w:rsidRPr="003A03EA">
        <w:rPr>
          <w:rFonts w:cs="Times New Roman"/>
          <w:lang w:val="fr-FR"/>
        </w:rPr>
        <w:t xml:space="preserve"> taux d'incapacité permanente physique dont la partie demanderesse </w:t>
      </w:r>
      <w:r w:rsidR="007922C0" w:rsidRPr="00CA77CF">
        <w:rPr>
          <w:rFonts w:cs="Times New Roman"/>
          <w:b/>
          <w:lang w:val="fr-FR"/>
        </w:rPr>
        <w:t>serait</w:t>
      </w:r>
      <w:r w:rsidR="007922C0" w:rsidRPr="003A03EA">
        <w:rPr>
          <w:rFonts w:cs="Times New Roman"/>
          <w:lang w:val="fr-FR"/>
        </w:rPr>
        <w:t xml:space="preserve"> atteinte; le tout sans préjudice de l'application des facteurs économiques et sociaux qui</w:t>
      </w:r>
      <w:r>
        <w:rPr>
          <w:rFonts w:cs="Times New Roman"/>
          <w:lang w:val="fr-FR"/>
        </w:rPr>
        <w:t xml:space="preserve"> relèvent de l’appréciation du t</w:t>
      </w:r>
      <w:r w:rsidR="007922C0" w:rsidRPr="003A03EA">
        <w:rPr>
          <w:rFonts w:cs="Times New Roman"/>
          <w:lang w:val="fr-FR"/>
        </w:rPr>
        <w:t>ribunal, et en prenant en considération le fait qu'il importe peu que la maladie ne soit pas la seule cause du dommage, de l'incapacité et qu’il suffit que sans elle, le dommage n'eût pas existé ou n'eût pas été aussi grave;</w:t>
      </w:r>
    </w:p>
    <w:p w:rsidR="007922C0" w:rsidRPr="003A03EA" w:rsidRDefault="007922C0" w:rsidP="007922C0">
      <w:pPr>
        <w:tabs>
          <w:tab w:val="left" w:pos="-1440"/>
        </w:tabs>
        <w:snapToGrid w:val="0"/>
        <w:jc w:val="both"/>
        <w:rPr>
          <w:rFonts w:cs="Times New Roman"/>
          <w:lang w:val="fr-FR"/>
        </w:rPr>
      </w:pPr>
    </w:p>
    <w:p w:rsidR="007922C0" w:rsidRPr="003A03EA" w:rsidRDefault="007922C0" w:rsidP="007922C0">
      <w:pPr>
        <w:numPr>
          <w:ilvl w:val="0"/>
          <w:numId w:val="13"/>
        </w:numPr>
        <w:tabs>
          <w:tab w:val="left" w:pos="-1440"/>
        </w:tabs>
        <w:snapToGrid w:val="0"/>
        <w:jc w:val="both"/>
        <w:rPr>
          <w:rFonts w:cs="Times New Roman"/>
          <w:lang w:val="fr-FR"/>
        </w:rPr>
      </w:pPr>
      <w:r w:rsidRPr="003A03EA">
        <w:rPr>
          <w:rFonts w:cs="Times New Roman"/>
          <w:lang w:val="fr-FR"/>
        </w:rPr>
        <w:t xml:space="preserve">de tenir compte, dès lors, des considérations suivantes : </w:t>
      </w:r>
    </w:p>
    <w:p w:rsidR="007922C0" w:rsidRPr="003A03EA" w:rsidRDefault="007922C0" w:rsidP="007922C0">
      <w:pPr>
        <w:tabs>
          <w:tab w:val="left" w:pos="-1440"/>
        </w:tabs>
        <w:snapToGrid w:val="0"/>
        <w:jc w:val="both"/>
        <w:rPr>
          <w:rFonts w:cs="Times New Roman"/>
          <w:b/>
          <w:lang w:val="fr-FR"/>
        </w:rPr>
      </w:pPr>
    </w:p>
    <w:p w:rsidR="007922C0" w:rsidRPr="003A03EA" w:rsidRDefault="007922C0" w:rsidP="007922C0">
      <w:pPr>
        <w:tabs>
          <w:tab w:val="left" w:pos="-1440"/>
        </w:tabs>
        <w:snapToGrid w:val="0"/>
        <w:ind w:left="709"/>
        <w:jc w:val="both"/>
        <w:rPr>
          <w:rFonts w:cs="Times New Roman"/>
          <w:lang w:val="fr-FR"/>
        </w:rPr>
      </w:pPr>
      <w:r w:rsidRPr="003A03EA">
        <w:rPr>
          <w:rFonts w:cs="Times New Roman"/>
          <w:b/>
          <w:lang w:val="fr-FR"/>
        </w:rPr>
        <w:t xml:space="preserve">d'une part </w:t>
      </w:r>
      <w:r w:rsidRPr="003A03EA">
        <w:rPr>
          <w:rFonts w:cs="Times New Roman"/>
          <w:lang w:val="fr-FR"/>
        </w:rPr>
        <w:t>: « </w:t>
      </w:r>
      <w:r w:rsidRPr="003A03EA">
        <w:rPr>
          <w:rFonts w:cs="Times New Roman"/>
          <w:i/>
          <w:lang w:val="fr-FR"/>
        </w:rPr>
        <w:t xml:space="preserve">lorsque le degré d'invalidité constaté à la suite d'un accident du travail est dû à la combinaison d'un état pathologique antérieur et des effets de l'accident, l'invalidité doit être légalement imputée </w:t>
      </w:r>
      <w:r w:rsidRPr="003A03EA">
        <w:rPr>
          <w:rFonts w:cs="Times New Roman"/>
          <w:b/>
          <w:i/>
          <w:lang w:val="fr-FR"/>
        </w:rPr>
        <w:t>pour le tout</w:t>
      </w:r>
      <w:r w:rsidRPr="003A03EA">
        <w:rPr>
          <w:rFonts w:cs="Times New Roman"/>
          <w:i/>
          <w:lang w:val="fr-FR"/>
        </w:rPr>
        <w:t xml:space="preserve"> à l'accident, sans soustraction pour les effets invalidants de l'état antérieur et ce, en raison du caractère forfaitaire du système légal de réparation, dès lors et aussi longtemps que l'accident est au moins la cause partielle de cette incapacité »</w:t>
      </w:r>
      <w:r w:rsidRPr="003A03EA">
        <w:rPr>
          <w:rFonts w:cs="Times New Roman"/>
          <w:lang w:val="fr-FR"/>
        </w:rPr>
        <w:t xml:space="preserve"> (Cass., 21 septembre 1987, </w:t>
      </w:r>
      <w:r w:rsidRPr="003A03EA">
        <w:rPr>
          <w:rFonts w:cs="Times New Roman"/>
          <w:i/>
          <w:lang w:val="fr-FR"/>
        </w:rPr>
        <w:t>R.D.S.</w:t>
      </w:r>
      <w:r w:rsidRPr="003A03EA">
        <w:rPr>
          <w:rFonts w:cs="Times New Roman"/>
          <w:lang w:val="fr-FR"/>
        </w:rPr>
        <w:t xml:space="preserve">, 1987, p. 509 ; Cass., 31 mars 1966, </w:t>
      </w:r>
      <w:r w:rsidRPr="003A03EA">
        <w:rPr>
          <w:rFonts w:cs="Times New Roman"/>
          <w:i/>
          <w:lang w:val="fr-FR"/>
        </w:rPr>
        <w:t>Pas</w:t>
      </w:r>
      <w:r w:rsidRPr="003A03EA">
        <w:rPr>
          <w:rFonts w:cs="Times New Roman"/>
          <w:lang w:val="fr-FR"/>
        </w:rPr>
        <w:t>., I, 993 ;  Cass., 23 décembre 1965, Pas., 1966, I, 563, arrêts rendus en matière d’accident du travail mais applicables aussi en matière</w:t>
      </w:r>
      <w:r>
        <w:rPr>
          <w:rFonts w:cs="Times New Roman"/>
          <w:lang w:val="fr-FR"/>
        </w:rPr>
        <w:t xml:space="preserve"> des maladies professionnelles) ;</w:t>
      </w:r>
    </w:p>
    <w:p w:rsidR="007922C0" w:rsidRPr="003A03EA" w:rsidRDefault="007922C0" w:rsidP="007922C0">
      <w:pPr>
        <w:tabs>
          <w:tab w:val="left" w:pos="-1440"/>
        </w:tabs>
        <w:snapToGrid w:val="0"/>
        <w:jc w:val="both"/>
        <w:rPr>
          <w:rFonts w:cs="Times New Roman"/>
          <w:b/>
          <w:lang w:val="fr-FR"/>
        </w:rPr>
      </w:pPr>
    </w:p>
    <w:p w:rsidR="007922C0" w:rsidRPr="003A03EA" w:rsidRDefault="007922C0" w:rsidP="007922C0">
      <w:pPr>
        <w:tabs>
          <w:tab w:val="left" w:pos="-1440"/>
        </w:tabs>
        <w:snapToGrid w:val="0"/>
        <w:ind w:left="709"/>
        <w:jc w:val="both"/>
        <w:rPr>
          <w:rFonts w:cs="Times New Roman"/>
          <w:lang w:val="fr-FR"/>
        </w:rPr>
      </w:pPr>
      <w:r w:rsidRPr="003A03EA">
        <w:rPr>
          <w:rFonts w:cs="Times New Roman"/>
          <w:b/>
          <w:lang w:val="fr-FR"/>
        </w:rPr>
        <w:t>d'autre part</w:t>
      </w:r>
      <w:r w:rsidRPr="003A03EA">
        <w:rPr>
          <w:rFonts w:cs="Times New Roman"/>
          <w:lang w:val="fr-FR"/>
        </w:rPr>
        <w:t xml:space="preserve"> : des répercussions de l'invalidité physiologique sur la capacité générale de travail de la partie demanderesse, eu égard à son âge, sa formation et ses antécédents professionnels, ainsi qu'à tous autres facteurs pouvant influencer la capacité générale de travail, notamment l'état du marché de travail général et les branches qui demeurent praticables à la victime, moyennant utilisation éventuelle de prothèses parfaitement adaptées après consultation, s'il  y  a lieu, de tous spécialistes d'autres disciplines ou d'organismes privé ou public particulièrement informés de l'orientation et de l</w:t>
      </w:r>
      <w:r>
        <w:rPr>
          <w:rFonts w:cs="Times New Roman"/>
          <w:lang w:val="fr-FR"/>
        </w:rPr>
        <w:t>a réadaptation professionnelles ;</w:t>
      </w:r>
    </w:p>
    <w:p w:rsidR="007922C0" w:rsidRPr="003A03EA" w:rsidRDefault="007922C0" w:rsidP="007922C0">
      <w:pPr>
        <w:tabs>
          <w:tab w:val="left" w:pos="-1440"/>
        </w:tabs>
        <w:snapToGrid w:val="0"/>
        <w:jc w:val="both"/>
        <w:rPr>
          <w:rFonts w:cs="Times New Roman"/>
          <w:lang w:val="fr-FR"/>
        </w:rPr>
      </w:pPr>
    </w:p>
    <w:p w:rsidR="007922C0" w:rsidRDefault="007922C0" w:rsidP="007922C0">
      <w:pPr>
        <w:numPr>
          <w:ilvl w:val="0"/>
          <w:numId w:val="14"/>
        </w:numPr>
        <w:tabs>
          <w:tab w:val="left" w:pos="-1440"/>
        </w:tabs>
        <w:snapToGrid w:val="0"/>
        <w:jc w:val="both"/>
        <w:rPr>
          <w:rFonts w:cs="Times New Roman"/>
          <w:bCs/>
          <w:lang w:val="fr-FR"/>
        </w:rPr>
      </w:pPr>
      <w:r>
        <w:rPr>
          <w:rFonts w:cs="Times New Roman"/>
          <w:bCs/>
          <w:lang w:val="fr-FR"/>
        </w:rPr>
        <w:t>De préciser les traitements médicaux, pharmaceutiques et autres nécessités suite à l’aggravation éventuelle de la maladie professionnelle ;</w:t>
      </w:r>
    </w:p>
    <w:p w:rsidR="007922C0" w:rsidRDefault="007922C0" w:rsidP="007922C0">
      <w:pPr>
        <w:tabs>
          <w:tab w:val="left" w:pos="-1440"/>
          <w:tab w:val="left" w:pos="7200"/>
        </w:tabs>
        <w:snapToGrid w:val="0"/>
        <w:ind w:left="720"/>
        <w:jc w:val="both"/>
        <w:rPr>
          <w:rFonts w:cs="Times New Roman"/>
          <w:bCs/>
          <w:lang w:val="fr-FR"/>
        </w:rPr>
      </w:pPr>
      <w:r>
        <w:rPr>
          <w:rFonts w:cs="Times New Roman"/>
          <w:bCs/>
          <w:lang w:val="fr-FR"/>
        </w:rPr>
        <w:tab/>
      </w:r>
    </w:p>
    <w:p w:rsidR="007922C0" w:rsidRPr="003A03EA" w:rsidRDefault="007922C0" w:rsidP="007922C0">
      <w:pPr>
        <w:numPr>
          <w:ilvl w:val="0"/>
          <w:numId w:val="14"/>
        </w:numPr>
        <w:tabs>
          <w:tab w:val="left" w:pos="-1440"/>
        </w:tabs>
        <w:snapToGrid w:val="0"/>
        <w:jc w:val="both"/>
        <w:rPr>
          <w:rFonts w:cs="Times New Roman"/>
          <w:bCs/>
          <w:lang w:val="fr-FR"/>
        </w:rPr>
      </w:pPr>
      <w:r w:rsidRPr="003A03EA">
        <w:rPr>
          <w:rFonts w:cs="Times New Roman"/>
          <w:bCs/>
          <w:lang w:val="fr-FR"/>
        </w:rPr>
        <w:t xml:space="preserve">à la fin de ses travaux, </w:t>
      </w:r>
      <w:r w:rsidRPr="003A03EA">
        <w:rPr>
          <w:rFonts w:cs="Times New Roman"/>
          <w:b/>
          <w:bCs/>
          <w:u w:val="single"/>
          <w:lang w:val="fr-FR"/>
        </w:rPr>
        <w:t>d’envoyer</w:t>
      </w:r>
      <w:r w:rsidRPr="003A03EA">
        <w:rPr>
          <w:rFonts w:cs="Times New Roman"/>
          <w:bCs/>
          <w:lang w:val="fr-FR"/>
        </w:rPr>
        <w:t xml:space="preserve"> pour lecture au tribunal, aux parties et à leurs conseils, </w:t>
      </w:r>
      <w:r w:rsidRPr="003A03EA">
        <w:rPr>
          <w:rFonts w:cs="Times New Roman"/>
          <w:b/>
          <w:bCs/>
          <w:u w:val="single"/>
          <w:lang w:val="fr-FR"/>
        </w:rPr>
        <w:t>ses constatations</w:t>
      </w:r>
      <w:r w:rsidRPr="003A03EA">
        <w:rPr>
          <w:rFonts w:cs="Times New Roman"/>
          <w:bCs/>
          <w:lang w:val="fr-FR"/>
        </w:rPr>
        <w:t xml:space="preserve"> auxquelles il joint déjà un avis provisoire et en fixant un délai raisonnable, compte tenu de la nature du litige, mais d’au moins quinze jours, dans lequel les parties doivent formuler leurs observations.</w:t>
      </w:r>
    </w:p>
    <w:p w:rsidR="007922C0" w:rsidRPr="003A03EA" w:rsidRDefault="007922C0" w:rsidP="007922C0">
      <w:pPr>
        <w:tabs>
          <w:tab w:val="left" w:pos="-1440"/>
        </w:tabs>
        <w:snapToGrid w:val="0"/>
        <w:jc w:val="both"/>
        <w:rPr>
          <w:rFonts w:cs="Times New Roman"/>
          <w:lang w:val="fr-FR"/>
        </w:rPr>
      </w:pPr>
    </w:p>
    <w:p w:rsidR="007922C0" w:rsidRDefault="007922C0" w:rsidP="007922C0">
      <w:pPr>
        <w:tabs>
          <w:tab w:val="left" w:pos="-1440"/>
        </w:tabs>
        <w:snapToGrid w:val="0"/>
        <w:jc w:val="both"/>
        <w:rPr>
          <w:rFonts w:cs="Times New Roman"/>
          <w:b/>
          <w:lang w:val="fr-FR"/>
        </w:rPr>
      </w:pPr>
      <w:r w:rsidRPr="003A03EA">
        <w:rPr>
          <w:rFonts w:cs="Times New Roman"/>
          <w:b/>
          <w:lang w:val="fr-FR"/>
        </w:rPr>
        <w:t>Le tribunal n’estim</w:t>
      </w:r>
      <w:r w:rsidR="00CA77CF">
        <w:rPr>
          <w:rFonts w:cs="Times New Roman"/>
          <w:b/>
          <w:lang w:val="fr-FR"/>
        </w:rPr>
        <w:t>e</w:t>
      </w:r>
      <w:r w:rsidRPr="003A03EA">
        <w:rPr>
          <w:rFonts w:cs="Times New Roman"/>
          <w:b/>
          <w:lang w:val="fr-FR"/>
        </w:rPr>
        <w:t xml:space="preserve"> pas nécessaire de fixer une réunion d’installation comme le permet l’article 972 du Code judiciaire ;</w:t>
      </w:r>
    </w:p>
    <w:p w:rsidR="00CA77CF" w:rsidRPr="003A03EA" w:rsidRDefault="00CA77CF" w:rsidP="007922C0">
      <w:pPr>
        <w:tabs>
          <w:tab w:val="left" w:pos="-1440"/>
        </w:tabs>
        <w:snapToGrid w:val="0"/>
        <w:jc w:val="both"/>
        <w:rPr>
          <w:rFonts w:cs="Times New Roman"/>
          <w:b/>
          <w:lang w:val="fr-FR"/>
        </w:rPr>
      </w:pPr>
    </w:p>
    <w:p w:rsidR="007922C0" w:rsidRPr="003A03EA" w:rsidRDefault="007922C0" w:rsidP="007922C0">
      <w:pPr>
        <w:tabs>
          <w:tab w:val="left" w:pos="-1440"/>
        </w:tabs>
        <w:snapToGrid w:val="0"/>
        <w:jc w:val="both"/>
        <w:rPr>
          <w:rFonts w:cs="Times New Roman"/>
          <w:bCs/>
        </w:rPr>
      </w:pPr>
      <w:r w:rsidRPr="003A03EA">
        <w:rPr>
          <w:rFonts w:cs="Times New Roman"/>
          <w:b/>
          <w:lang w:val="fr-FR"/>
        </w:rPr>
        <w:t>Le tribunal précis</w:t>
      </w:r>
      <w:r w:rsidR="00CA77CF">
        <w:rPr>
          <w:rFonts w:cs="Times New Roman"/>
          <w:b/>
          <w:lang w:val="fr-FR"/>
        </w:rPr>
        <w:t>e</w:t>
      </w:r>
      <w:r w:rsidRPr="003A03EA">
        <w:rPr>
          <w:rFonts w:cs="Times New Roman"/>
          <w:b/>
          <w:lang w:val="fr-FR"/>
        </w:rPr>
        <w:t xml:space="preserve"> encore </w:t>
      </w:r>
      <w:r w:rsidRPr="003A03EA">
        <w:rPr>
          <w:rFonts w:cs="Times New Roman"/>
          <w:lang w:val="fr-FR"/>
        </w:rPr>
        <w:t>qu’en</w:t>
      </w:r>
      <w:r w:rsidRPr="003A03EA">
        <w:rPr>
          <w:rFonts w:cs="Times New Roman"/>
          <w:bCs/>
          <w:lang w:val="fr-FR"/>
        </w:rPr>
        <w:t xml:space="preserve"> vue d’accélérer le paiement de l’état d’honoraires et frais de l’Expert commis en l’espèce, cet état pourra faire l’objet d’une taxation d’office par ordonnance distincte prise, le cas échéant, avant la date de l’audience retenue pour les plaidoiries à défaut d’opposition manifestée par correspondance ou par mail  par la partie devant en supporter le coût conformément à l’article 1017, alinéa 2, du Code judiciaire dans un délai d’un mois à compter de la date de dépôt au Greffe de la requête en taxation</w:t>
      </w:r>
      <w:r>
        <w:rPr>
          <w:rFonts w:cs="Times New Roman"/>
          <w:bCs/>
          <w:lang w:val="fr-FR"/>
        </w:rPr>
        <w:t xml:space="preserve"> annexée au rapport d’expertise.</w:t>
      </w:r>
    </w:p>
    <w:p w:rsidR="007922C0" w:rsidRDefault="007922C0" w:rsidP="007922C0">
      <w:pPr>
        <w:tabs>
          <w:tab w:val="left" w:pos="-1440"/>
        </w:tabs>
        <w:snapToGrid w:val="0"/>
        <w:jc w:val="both"/>
        <w:rPr>
          <w:rFonts w:cs="Times New Roman"/>
          <w:b/>
        </w:rPr>
      </w:pPr>
    </w:p>
    <w:p w:rsidR="007922C0" w:rsidRPr="0052593A" w:rsidRDefault="007922C0" w:rsidP="007922C0">
      <w:pPr>
        <w:tabs>
          <w:tab w:val="left" w:pos="-1440"/>
        </w:tabs>
        <w:snapToGrid w:val="0"/>
        <w:jc w:val="both"/>
        <w:rPr>
          <w:rFonts w:cs="Times New Roman"/>
          <w:b/>
        </w:rPr>
      </w:pPr>
    </w:p>
    <w:p w:rsidR="007922C0" w:rsidRPr="003A03EA" w:rsidRDefault="007922C0" w:rsidP="007922C0">
      <w:pPr>
        <w:tabs>
          <w:tab w:val="left" w:pos="-1440"/>
        </w:tabs>
        <w:snapToGrid w:val="0"/>
        <w:jc w:val="both"/>
        <w:rPr>
          <w:rFonts w:cs="Times New Roman"/>
          <w:b/>
          <w:lang w:val="fr-FR"/>
        </w:rPr>
      </w:pPr>
      <w:r w:rsidRPr="003A03EA">
        <w:rPr>
          <w:rFonts w:cs="Times New Roman"/>
          <w:b/>
          <w:lang w:val="fr-FR"/>
        </w:rPr>
        <w:t>Par ailleurs, l’expert devra :</w:t>
      </w:r>
    </w:p>
    <w:p w:rsidR="007922C0" w:rsidRPr="003A03EA" w:rsidRDefault="007922C0" w:rsidP="007922C0">
      <w:pPr>
        <w:tabs>
          <w:tab w:val="left" w:pos="-1440"/>
        </w:tabs>
        <w:snapToGrid w:val="0"/>
        <w:jc w:val="both"/>
        <w:rPr>
          <w:rFonts w:cs="Times New Roman"/>
          <w:b/>
          <w:lang w:val="fr-FR"/>
        </w:rPr>
      </w:pPr>
    </w:p>
    <w:p w:rsidR="007922C0" w:rsidRPr="003A03EA" w:rsidRDefault="007922C0" w:rsidP="007922C0">
      <w:pPr>
        <w:numPr>
          <w:ilvl w:val="0"/>
          <w:numId w:val="3"/>
        </w:numPr>
        <w:tabs>
          <w:tab w:val="left" w:pos="-1440"/>
        </w:tabs>
        <w:snapToGrid w:val="0"/>
        <w:jc w:val="both"/>
        <w:rPr>
          <w:rFonts w:cs="Times New Roman"/>
          <w:b/>
          <w:lang w:val="fr-FR"/>
        </w:rPr>
      </w:pPr>
      <w:r w:rsidRPr="003A03EA">
        <w:rPr>
          <w:rFonts w:cs="Times New Roman"/>
          <w:lang w:val="fr-FR"/>
        </w:rPr>
        <w:t>en application de l’article 972 du Code judiciaire, communiquer dans les 8 jours de la notification de la mission,  par lettre adressée au  tribunal et aux parties les lieu, jour et heure du début de ses travaux (qui se situera, dans la mesure du possible, dans les six semaines de la notification de sa mission) ;</w:t>
      </w:r>
    </w:p>
    <w:p w:rsidR="007922C0" w:rsidRPr="003A03EA" w:rsidRDefault="007922C0" w:rsidP="007922C0">
      <w:pPr>
        <w:tabs>
          <w:tab w:val="left" w:pos="-1440"/>
        </w:tabs>
        <w:snapToGrid w:val="0"/>
        <w:jc w:val="both"/>
        <w:rPr>
          <w:rFonts w:cs="Times New Roman"/>
          <w:b/>
          <w:lang w:val="fr-FR"/>
        </w:rPr>
      </w:pPr>
    </w:p>
    <w:p w:rsidR="007922C0" w:rsidRPr="003A03EA" w:rsidRDefault="007922C0" w:rsidP="007922C0">
      <w:pPr>
        <w:numPr>
          <w:ilvl w:val="0"/>
          <w:numId w:val="3"/>
        </w:numPr>
        <w:tabs>
          <w:tab w:val="left" w:pos="-1440"/>
        </w:tabs>
        <w:snapToGrid w:val="0"/>
        <w:jc w:val="both"/>
        <w:rPr>
          <w:rFonts w:cs="Times New Roman"/>
          <w:lang w:val="fr-FR"/>
        </w:rPr>
      </w:pPr>
      <w:r w:rsidRPr="003A03EA">
        <w:rPr>
          <w:rFonts w:cs="Times New Roman"/>
          <w:lang w:val="fr-FR"/>
        </w:rPr>
        <w:t>convoquer les parties et prendre connaissance de leurs déclarations verbales et réquisitions, des pièces médicales et de toutes autres pièces ou renseignements utiles produits par celles-ci ;</w:t>
      </w:r>
    </w:p>
    <w:p w:rsidR="007922C0" w:rsidRPr="003A03EA" w:rsidRDefault="007922C0" w:rsidP="007922C0">
      <w:pPr>
        <w:tabs>
          <w:tab w:val="left" w:pos="-1440"/>
        </w:tabs>
        <w:snapToGrid w:val="0"/>
        <w:jc w:val="both"/>
        <w:rPr>
          <w:rFonts w:cs="Times New Roman"/>
          <w:lang w:val="fr-FR"/>
        </w:rPr>
      </w:pPr>
    </w:p>
    <w:p w:rsidR="007922C0" w:rsidRPr="003A03EA" w:rsidRDefault="007922C0" w:rsidP="007922C0">
      <w:pPr>
        <w:numPr>
          <w:ilvl w:val="0"/>
          <w:numId w:val="3"/>
        </w:numPr>
        <w:tabs>
          <w:tab w:val="left" w:pos="-1440"/>
        </w:tabs>
        <w:snapToGrid w:val="0"/>
        <w:jc w:val="both"/>
        <w:rPr>
          <w:rFonts w:cs="Times New Roman"/>
          <w:lang w:val="fr-FR"/>
        </w:rPr>
      </w:pPr>
      <w:r w:rsidRPr="003A03EA">
        <w:rPr>
          <w:rFonts w:cs="Times New Roman"/>
          <w:lang w:val="fr-FR"/>
        </w:rPr>
        <w:t xml:space="preserve">informer d'une part, la partie demanderesse qu'elle peut se faire assister à l'expertise par un médecin de son choix et d'autre part, la partie défenderesse qu'elle peut s'y faire représenter par son médecin ;  </w:t>
      </w:r>
    </w:p>
    <w:p w:rsidR="007922C0" w:rsidRPr="003A03EA" w:rsidRDefault="007922C0" w:rsidP="007922C0">
      <w:pPr>
        <w:tabs>
          <w:tab w:val="left" w:pos="-1440"/>
        </w:tabs>
        <w:snapToGrid w:val="0"/>
        <w:jc w:val="both"/>
        <w:rPr>
          <w:rFonts w:cs="Times New Roman"/>
          <w:lang w:val="fr-FR"/>
        </w:rPr>
      </w:pPr>
    </w:p>
    <w:p w:rsidR="007922C0" w:rsidRPr="003A03EA" w:rsidRDefault="007922C0" w:rsidP="007922C0">
      <w:pPr>
        <w:numPr>
          <w:ilvl w:val="0"/>
          <w:numId w:val="3"/>
        </w:numPr>
        <w:tabs>
          <w:tab w:val="left" w:pos="-1440"/>
        </w:tabs>
        <w:snapToGrid w:val="0"/>
        <w:jc w:val="both"/>
        <w:rPr>
          <w:rFonts w:cs="Times New Roman"/>
          <w:lang w:val="fr-FR"/>
        </w:rPr>
      </w:pPr>
      <w:r w:rsidRPr="003A03EA">
        <w:rPr>
          <w:rFonts w:cs="Times New Roman"/>
          <w:lang w:val="fr-FR"/>
        </w:rPr>
        <w:t>lors de la première réunion d’expertise, les parties et l’expert débattront et fixeront les modalités qui n’ont pas été fixées dans le jugement ou en raison de l’absence de réunion d’installation</w:t>
      </w:r>
      <w:r>
        <w:rPr>
          <w:rFonts w:cs="Times New Roman"/>
          <w:lang w:val="fr-FR"/>
        </w:rPr>
        <w:t xml:space="preserve"> </w:t>
      </w:r>
      <w:r w:rsidRPr="003A03EA">
        <w:rPr>
          <w:rFonts w:cs="Times New Roman"/>
          <w:lang w:val="fr-FR"/>
        </w:rPr>
        <w:t>;</w:t>
      </w:r>
    </w:p>
    <w:p w:rsidR="007922C0" w:rsidRPr="003A03EA" w:rsidRDefault="007922C0" w:rsidP="007922C0">
      <w:pPr>
        <w:tabs>
          <w:tab w:val="left" w:pos="-1440"/>
        </w:tabs>
        <w:snapToGrid w:val="0"/>
        <w:jc w:val="both"/>
        <w:rPr>
          <w:rFonts w:cs="Times New Roman"/>
          <w:lang w:val="fr-FR"/>
        </w:rPr>
      </w:pPr>
    </w:p>
    <w:p w:rsidR="007922C0" w:rsidRPr="003A03EA" w:rsidRDefault="007922C0" w:rsidP="007922C0">
      <w:pPr>
        <w:numPr>
          <w:ilvl w:val="0"/>
          <w:numId w:val="4"/>
        </w:numPr>
        <w:tabs>
          <w:tab w:val="left" w:pos="-1440"/>
        </w:tabs>
        <w:snapToGrid w:val="0"/>
        <w:jc w:val="both"/>
        <w:rPr>
          <w:rFonts w:cs="Times New Roman"/>
          <w:lang w:val="fr-FR"/>
        </w:rPr>
      </w:pPr>
      <w:r w:rsidRPr="003A03EA">
        <w:rPr>
          <w:rFonts w:cs="Times New Roman"/>
          <w:lang w:val="fr-FR"/>
        </w:rPr>
        <w:t xml:space="preserve">et, après avoir pris connaissance, dans les conditions ordinaires de contradiction, des documents et éléments médicaux lui soumis par les parties, ainsi que de l'opinion des médecins qui ont soigné la partie demanderesse, examiner cette dernière et </w:t>
      </w:r>
      <w:r w:rsidRPr="003A03EA">
        <w:rPr>
          <w:rFonts w:cs="Times New Roman"/>
          <w:u w:val="single"/>
          <w:lang w:val="fr-FR"/>
        </w:rPr>
        <w:t>faire procéder éventuellement aux examens spécialisés qu'il estime nécessaires, en recourant, le cas échéant à l’avis d’un conseiller technique ou sapiteur spécialisé</w:t>
      </w:r>
      <w:r w:rsidRPr="003A03EA">
        <w:rPr>
          <w:rFonts w:cs="Times New Roman"/>
          <w:lang w:val="fr-FR"/>
        </w:rPr>
        <w:t xml:space="preserve"> (article 972,§2,</w:t>
      </w:r>
      <w:r>
        <w:rPr>
          <w:rFonts w:cs="Times New Roman"/>
          <w:lang w:val="fr-FR"/>
        </w:rPr>
        <w:t xml:space="preserve"> </w:t>
      </w:r>
      <w:r w:rsidRPr="003A03EA">
        <w:rPr>
          <w:rFonts w:cs="Times New Roman"/>
          <w:lang w:val="fr-FR"/>
        </w:rPr>
        <w:t>alinéa 7, 3° du Code judiciaire)</w:t>
      </w:r>
      <w:r>
        <w:rPr>
          <w:rFonts w:cs="Times New Roman"/>
          <w:lang w:val="fr-FR"/>
        </w:rPr>
        <w:t xml:space="preserve"> </w:t>
      </w:r>
      <w:r w:rsidRPr="003A03EA">
        <w:rPr>
          <w:rFonts w:cs="Times New Roman"/>
          <w:lang w:val="fr-FR"/>
        </w:rPr>
        <w:t xml:space="preserve">; </w:t>
      </w:r>
    </w:p>
    <w:p w:rsidR="007922C0" w:rsidRPr="003A03EA" w:rsidRDefault="007922C0" w:rsidP="007922C0">
      <w:pPr>
        <w:tabs>
          <w:tab w:val="left" w:pos="-1440"/>
        </w:tabs>
        <w:snapToGrid w:val="0"/>
        <w:jc w:val="both"/>
        <w:rPr>
          <w:rFonts w:cs="Times New Roman"/>
          <w:lang w:val="fr-FR"/>
        </w:rPr>
      </w:pPr>
    </w:p>
    <w:p w:rsidR="007922C0" w:rsidRPr="003A03EA" w:rsidRDefault="007922C0" w:rsidP="007922C0">
      <w:pPr>
        <w:numPr>
          <w:ilvl w:val="0"/>
          <w:numId w:val="4"/>
        </w:numPr>
        <w:tabs>
          <w:tab w:val="left" w:pos="-1440"/>
        </w:tabs>
        <w:snapToGrid w:val="0"/>
        <w:jc w:val="both"/>
        <w:rPr>
          <w:rFonts w:cs="Times New Roman"/>
          <w:lang w:val="fr-FR"/>
        </w:rPr>
      </w:pPr>
      <w:r w:rsidRPr="003A03EA">
        <w:rPr>
          <w:rFonts w:cs="Times New Roman"/>
          <w:lang w:val="fr-FR"/>
        </w:rPr>
        <w:t xml:space="preserve">tenir compte des usages en vigueur dans la profession et </w:t>
      </w:r>
      <w:r w:rsidRPr="003A03EA">
        <w:rPr>
          <w:rFonts w:cs="Times New Roman"/>
          <w:b/>
          <w:bCs/>
          <w:lang w:val="fr-FR"/>
        </w:rPr>
        <w:t>des règles générales fixées par l’article 991 du Code judiciaire</w:t>
      </w:r>
      <w:r w:rsidRPr="003A03EA">
        <w:rPr>
          <w:rFonts w:cs="Times New Roman"/>
          <w:lang w:val="fr-FR"/>
        </w:rPr>
        <w:t xml:space="preserve"> quant au  mode de calcul des frais et honoraires de l'expert et des éventuels conseillers techniques, en étant attentif à la </w:t>
      </w:r>
      <w:r w:rsidRPr="003A03EA">
        <w:rPr>
          <w:rFonts w:cs="Times New Roman"/>
          <w:b/>
          <w:bCs/>
          <w:lang w:val="fr-FR"/>
        </w:rPr>
        <w:t>valeur du litige</w:t>
      </w:r>
      <w:r w:rsidRPr="003A03EA">
        <w:rPr>
          <w:rFonts w:cs="Times New Roman"/>
          <w:lang w:val="fr-FR"/>
        </w:rPr>
        <w:t xml:space="preserve">  (article 972,§2,</w:t>
      </w:r>
      <w:r>
        <w:rPr>
          <w:rFonts w:cs="Times New Roman"/>
          <w:lang w:val="fr-FR"/>
        </w:rPr>
        <w:t xml:space="preserve"> </w:t>
      </w:r>
      <w:r w:rsidRPr="003A03EA">
        <w:rPr>
          <w:rFonts w:cs="Times New Roman"/>
          <w:lang w:val="fr-FR"/>
        </w:rPr>
        <w:t xml:space="preserve">alinéa 7, 4° du Code judiciaire) ; </w:t>
      </w:r>
    </w:p>
    <w:p w:rsidR="007922C0" w:rsidRPr="003A03EA" w:rsidRDefault="007922C0" w:rsidP="007922C0">
      <w:pPr>
        <w:tabs>
          <w:tab w:val="left" w:pos="-1440"/>
        </w:tabs>
        <w:snapToGrid w:val="0"/>
        <w:jc w:val="both"/>
        <w:rPr>
          <w:rFonts w:cs="Times New Roman"/>
          <w:lang w:val="fr-FR"/>
        </w:rPr>
      </w:pPr>
    </w:p>
    <w:p w:rsidR="007922C0" w:rsidRDefault="007922C0" w:rsidP="007922C0">
      <w:pPr>
        <w:numPr>
          <w:ilvl w:val="0"/>
          <w:numId w:val="4"/>
        </w:numPr>
        <w:tabs>
          <w:tab w:val="left" w:pos="-1440"/>
        </w:tabs>
        <w:snapToGrid w:val="0"/>
        <w:jc w:val="both"/>
        <w:rPr>
          <w:rFonts w:cs="Times New Roman"/>
          <w:lang w:val="fr-FR"/>
        </w:rPr>
      </w:pPr>
      <w:r w:rsidRPr="003A03EA">
        <w:rPr>
          <w:rFonts w:cs="Times New Roman"/>
          <w:lang w:val="fr-FR"/>
        </w:rPr>
        <w:t xml:space="preserve">donner connaissance aux parties de ses constatations ainsi qu’un avis provisoire à la fin des opérations (en fixant à celles-ci dans la mesure du possible, un délai de quinze jours maximum), pour que celles-ci lui fassent connaître leurs observations quant aux préliminaires des opérations d’expertise ; </w:t>
      </w:r>
    </w:p>
    <w:p w:rsidR="00E52FF3" w:rsidRPr="000D0B43" w:rsidRDefault="00E52FF3" w:rsidP="00E52FF3">
      <w:pPr>
        <w:tabs>
          <w:tab w:val="left" w:pos="-1440"/>
        </w:tabs>
        <w:snapToGrid w:val="0"/>
        <w:ind w:left="360"/>
        <w:jc w:val="both"/>
        <w:rPr>
          <w:rFonts w:cs="Times New Roman"/>
          <w:lang w:val="fr-FR"/>
        </w:rPr>
      </w:pPr>
    </w:p>
    <w:p w:rsidR="007922C0" w:rsidRPr="003A03EA" w:rsidRDefault="007922C0" w:rsidP="007922C0">
      <w:pPr>
        <w:numPr>
          <w:ilvl w:val="0"/>
          <w:numId w:val="3"/>
        </w:numPr>
        <w:tabs>
          <w:tab w:val="left" w:pos="-1440"/>
        </w:tabs>
        <w:snapToGrid w:val="0"/>
        <w:jc w:val="both"/>
        <w:rPr>
          <w:rFonts w:cs="Times New Roman"/>
          <w:lang w:val="fr-FR"/>
        </w:rPr>
      </w:pPr>
      <w:r w:rsidRPr="003A03EA">
        <w:rPr>
          <w:rFonts w:cs="Times New Roman"/>
          <w:lang w:val="fr-FR"/>
        </w:rPr>
        <w:t>acter, outre le relevé des documents et notes remis dans le cadre de l’expertise, les déclarations verbales, les réquisitions, ainsi que les observations des parties, outre celles de leurs médecins conseils et de leurs avocats, en son rapport définitif ;</w:t>
      </w:r>
    </w:p>
    <w:p w:rsidR="007922C0" w:rsidRPr="003A03EA" w:rsidRDefault="007922C0" w:rsidP="007922C0">
      <w:pPr>
        <w:tabs>
          <w:tab w:val="left" w:pos="-1440"/>
        </w:tabs>
        <w:snapToGrid w:val="0"/>
        <w:jc w:val="both"/>
        <w:rPr>
          <w:rFonts w:cs="Times New Roman"/>
          <w:lang w:val="fr-FR"/>
        </w:rPr>
      </w:pPr>
    </w:p>
    <w:p w:rsidR="007922C0" w:rsidRDefault="007922C0" w:rsidP="007922C0">
      <w:pPr>
        <w:numPr>
          <w:ilvl w:val="0"/>
          <w:numId w:val="3"/>
        </w:numPr>
        <w:tabs>
          <w:tab w:val="left" w:pos="-1440"/>
        </w:tabs>
        <w:snapToGrid w:val="0"/>
        <w:jc w:val="both"/>
        <w:rPr>
          <w:rFonts w:cs="Times New Roman"/>
          <w:lang w:val="fr-FR"/>
        </w:rPr>
      </w:pPr>
      <w:r w:rsidRPr="003A03EA">
        <w:rPr>
          <w:rFonts w:cs="Times New Roman"/>
          <w:lang w:val="fr-FR"/>
        </w:rPr>
        <w:t>tenter de concilier les parties en application de l’article 977 du Code judiciaire ;</w:t>
      </w:r>
    </w:p>
    <w:p w:rsidR="00EE1F1D" w:rsidRDefault="00EE1F1D" w:rsidP="00EE1F1D">
      <w:pPr>
        <w:tabs>
          <w:tab w:val="left" w:pos="-1440"/>
        </w:tabs>
        <w:snapToGrid w:val="0"/>
        <w:jc w:val="both"/>
        <w:rPr>
          <w:rFonts w:cs="Times New Roman"/>
          <w:lang w:val="fr-FR"/>
        </w:rPr>
      </w:pPr>
    </w:p>
    <w:p w:rsidR="007922C0" w:rsidRPr="003A03EA" w:rsidRDefault="007922C0" w:rsidP="007922C0">
      <w:pPr>
        <w:numPr>
          <w:ilvl w:val="0"/>
          <w:numId w:val="3"/>
        </w:numPr>
        <w:tabs>
          <w:tab w:val="left" w:pos="-1440"/>
        </w:tabs>
        <w:snapToGrid w:val="0"/>
        <w:jc w:val="both"/>
        <w:rPr>
          <w:rFonts w:cs="Times New Roman"/>
          <w:lang w:val="fr-FR"/>
        </w:rPr>
      </w:pPr>
      <w:r w:rsidRPr="003A03EA">
        <w:rPr>
          <w:rFonts w:cs="Times New Roman"/>
          <w:lang w:val="fr-FR"/>
        </w:rPr>
        <w:t xml:space="preserve">dresser rapport écrit et motivé à déposer au </w:t>
      </w:r>
      <w:r>
        <w:rPr>
          <w:rFonts w:cs="Times New Roman"/>
          <w:lang w:val="fr-FR"/>
        </w:rPr>
        <w:t>greffe de ce tribunal dans les s</w:t>
      </w:r>
      <w:r w:rsidRPr="003A03EA">
        <w:rPr>
          <w:rFonts w:cs="Times New Roman"/>
          <w:lang w:val="fr-FR"/>
        </w:rPr>
        <w:t xml:space="preserve">ix mois à dater du jour où il aura été saisi de sa mission par le greffe, la prolongation de ce délai étant régie par l’article 974 du Code judiciaire (idéalement l’expert déposera bien entendu son rapport final dans les </w:t>
      </w:r>
      <w:r w:rsidRPr="003A03EA">
        <w:rPr>
          <w:rFonts w:cs="Times New Roman"/>
          <w:b/>
          <w:bCs/>
          <w:lang w:val="fr-FR"/>
        </w:rPr>
        <w:t>six mois</w:t>
      </w:r>
      <w:r w:rsidRPr="003A03EA">
        <w:rPr>
          <w:rFonts w:cs="Times New Roman"/>
          <w:lang w:val="fr-FR"/>
        </w:rPr>
        <w:t> ; si cela s’avère impossible, il dressera à tout le moins au tribunal un rapport intermédiaire sur l’état d’avancement de ses travaux au terme de ces si</w:t>
      </w:r>
      <w:r>
        <w:rPr>
          <w:rFonts w:cs="Times New Roman"/>
          <w:lang w:val="fr-FR"/>
        </w:rPr>
        <w:t>x</w:t>
      </w:r>
      <w:r w:rsidRPr="003A03EA">
        <w:rPr>
          <w:rFonts w:cs="Times New Roman"/>
          <w:lang w:val="fr-FR"/>
        </w:rPr>
        <w:t xml:space="preserve"> mois, conformément à l’article 974,§1</w:t>
      </w:r>
      <w:r w:rsidRPr="003A03EA">
        <w:rPr>
          <w:rFonts w:cs="Times New Roman"/>
          <w:vertAlign w:val="superscript"/>
          <w:lang w:val="fr-FR"/>
        </w:rPr>
        <w:t>er</w:t>
      </w:r>
      <w:r w:rsidRPr="003A03EA">
        <w:rPr>
          <w:rFonts w:cs="Times New Roman"/>
          <w:lang w:val="fr-FR"/>
        </w:rPr>
        <w:t xml:space="preserve"> du Code judiciaire) ;</w:t>
      </w:r>
    </w:p>
    <w:p w:rsidR="007922C0" w:rsidRPr="003A03EA" w:rsidRDefault="007922C0" w:rsidP="007922C0">
      <w:pPr>
        <w:tabs>
          <w:tab w:val="left" w:pos="-1440"/>
        </w:tabs>
        <w:snapToGrid w:val="0"/>
        <w:jc w:val="both"/>
        <w:rPr>
          <w:rFonts w:cs="Times New Roman"/>
          <w:lang w:val="fr-FR"/>
        </w:rPr>
      </w:pPr>
    </w:p>
    <w:p w:rsidR="007922C0" w:rsidRPr="003A03EA" w:rsidRDefault="007922C0" w:rsidP="007922C0">
      <w:pPr>
        <w:numPr>
          <w:ilvl w:val="0"/>
          <w:numId w:val="3"/>
        </w:numPr>
        <w:tabs>
          <w:tab w:val="left" w:pos="-1440"/>
        </w:tabs>
        <w:snapToGrid w:val="0"/>
        <w:jc w:val="both"/>
        <w:rPr>
          <w:rFonts w:cs="Times New Roman"/>
          <w:lang w:val="fr-FR"/>
        </w:rPr>
      </w:pPr>
      <w:r w:rsidRPr="003A03EA">
        <w:rPr>
          <w:rFonts w:cs="Times New Roman"/>
          <w:lang w:val="fr-FR"/>
        </w:rPr>
        <w:t>le jour du dépôt dudit rapport au Greffe, d’en communiquer aux parties,</w:t>
      </w:r>
      <w:r w:rsidRPr="003A03EA">
        <w:rPr>
          <w:rFonts w:cs="Times New Roman"/>
          <w:b/>
          <w:lang w:val="fr-FR"/>
        </w:rPr>
        <w:t xml:space="preserve"> </w:t>
      </w:r>
      <w:r w:rsidRPr="003A03EA">
        <w:rPr>
          <w:rFonts w:cs="Times New Roman"/>
          <w:lang w:val="fr-FR"/>
        </w:rPr>
        <w:t>sous pli recommandé à la poste, une copie certifiée conforme, ainsi que de l’état des honoraires et frais qui y est inscrit ;</w:t>
      </w:r>
    </w:p>
    <w:p w:rsidR="007922C0" w:rsidRPr="003A03EA" w:rsidRDefault="007922C0" w:rsidP="007922C0">
      <w:pPr>
        <w:tabs>
          <w:tab w:val="left" w:pos="-1440"/>
        </w:tabs>
        <w:snapToGrid w:val="0"/>
        <w:jc w:val="both"/>
        <w:rPr>
          <w:rFonts w:cs="Times New Roman"/>
          <w:lang w:val="fr-FR"/>
        </w:rPr>
      </w:pPr>
    </w:p>
    <w:p w:rsidR="007922C0" w:rsidRPr="003A03EA" w:rsidRDefault="007922C0" w:rsidP="007922C0">
      <w:pPr>
        <w:numPr>
          <w:ilvl w:val="0"/>
          <w:numId w:val="3"/>
        </w:numPr>
        <w:tabs>
          <w:tab w:val="left" w:pos="-1440"/>
        </w:tabs>
        <w:snapToGrid w:val="0"/>
        <w:jc w:val="both"/>
        <w:rPr>
          <w:rFonts w:cs="Times New Roman"/>
          <w:lang w:val="fr-FR"/>
        </w:rPr>
      </w:pPr>
      <w:r w:rsidRPr="003A03EA">
        <w:rPr>
          <w:rFonts w:cs="Times New Roman"/>
          <w:lang w:val="fr-FR"/>
        </w:rPr>
        <w:t>d’adresser une copie non signée de ces mêmes documents aux avocats et /ou représentant des parties.</w:t>
      </w:r>
    </w:p>
    <w:p w:rsidR="007922C0" w:rsidRPr="003A03EA" w:rsidRDefault="007922C0" w:rsidP="007922C0">
      <w:pPr>
        <w:tabs>
          <w:tab w:val="left" w:pos="-1440"/>
        </w:tabs>
        <w:snapToGrid w:val="0"/>
        <w:jc w:val="both"/>
        <w:rPr>
          <w:rFonts w:cs="Times New Roman"/>
          <w:b/>
          <w:bCs/>
          <w:lang w:val="fr-FR"/>
        </w:rPr>
      </w:pPr>
    </w:p>
    <w:p w:rsidR="007922C0" w:rsidRPr="003A03EA" w:rsidRDefault="007922C0" w:rsidP="007922C0">
      <w:pPr>
        <w:tabs>
          <w:tab w:val="left" w:pos="-1440"/>
        </w:tabs>
        <w:snapToGrid w:val="0"/>
        <w:jc w:val="both"/>
        <w:rPr>
          <w:rFonts w:cs="Times New Roman"/>
          <w:lang w:val="fr-FR"/>
        </w:rPr>
      </w:pPr>
      <w:r w:rsidRPr="003A03EA">
        <w:rPr>
          <w:rFonts w:cs="Times New Roman"/>
          <w:lang w:val="fr-FR"/>
        </w:rPr>
        <w:t>Dès après le dépôt du rapport de l’expert, chacune des parties pourra demander la fixation de la cause à l’audience, en application de l’article 730,§2, b) du Code judiciaire.</w:t>
      </w:r>
    </w:p>
    <w:p w:rsidR="007922C0" w:rsidRPr="003A03EA" w:rsidRDefault="007922C0" w:rsidP="007922C0">
      <w:pPr>
        <w:tabs>
          <w:tab w:val="left" w:pos="-1440"/>
        </w:tabs>
        <w:snapToGrid w:val="0"/>
        <w:jc w:val="both"/>
        <w:rPr>
          <w:rFonts w:cs="Times New Roman"/>
          <w:b/>
          <w:lang w:val="fr-FR"/>
        </w:rPr>
      </w:pPr>
    </w:p>
    <w:p w:rsidR="007922C0" w:rsidRPr="003A03EA" w:rsidRDefault="007922C0" w:rsidP="007922C0">
      <w:pPr>
        <w:tabs>
          <w:tab w:val="left" w:pos="-1440"/>
        </w:tabs>
        <w:snapToGrid w:val="0"/>
        <w:jc w:val="both"/>
        <w:rPr>
          <w:rFonts w:cs="Times New Roman"/>
          <w:bCs/>
          <w:lang w:val="fr-FR"/>
        </w:rPr>
      </w:pPr>
      <w:r w:rsidRPr="003A03EA">
        <w:rPr>
          <w:rFonts w:cs="Times New Roman"/>
          <w:b/>
          <w:lang w:val="fr-FR"/>
        </w:rPr>
        <w:t>DIT pour droit que</w:t>
      </w:r>
      <w:r w:rsidRPr="003A03EA">
        <w:rPr>
          <w:rFonts w:cs="Times New Roman"/>
          <w:bCs/>
          <w:lang w:val="fr-FR"/>
        </w:rPr>
        <w:t> si l’expert estime que la bonne fin de ses travaux le nécessite, il pourra faire appel à un ou des conseillers techniques de son choix, notamment un médecin spécialiste dans un domaine particulier des arts ou techniques de la médecine.</w:t>
      </w:r>
    </w:p>
    <w:p w:rsidR="007922C0" w:rsidRDefault="007922C0" w:rsidP="007922C0">
      <w:pPr>
        <w:tabs>
          <w:tab w:val="left" w:pos="-1440"/>
        </w:tabs>
        <w:snapToGrid w:val="0"/>
        <w:jc w:val="both"/>
        <w:rPr>
          <w:rFonts w:cs="Times New Roman"/>
          <w:bCs/>
          <w:lang w:val="fr-FR"/>
        </w:rPr>
      </w:pPr>
    </w:p>
    <w:p w:rsidR="007922C0" w:rsidRPr="003A03EA" w:rsidRDefault="007922C0" w:rsidP="007922C0">
      <w:pPr>
        <w:tabs>
          <w:tab w:val="left" w:pos="-1440"/>
        </w:tabs>
        <w:snapToGrid w:val="0"/>
        <w:jc w:val="both"/>
        <w:rPr>
          <w:rFonts w:cs="Times New Roman"/>
          <w:bCs/>
          <w:lang w:val="fr-FR"/>
        </w:rPr>
      </w:pPr>
      <w:r w:rsidRPr="003A03EA">
        <w:rPr>
          <w:rFonts w:cs="Times New Roman"/>
          <w:bCs/>
          <w:lang w:val="fr-FR"/>
        </w:rPr>
        <w:t xml:space="preserve">Le tribunal estime le coût global de l’expertise à </w:t>
      </w:r>
      <w:r w:rsidR="009B44CB">
        <w:rPr>
          <w:rFonts w:cs="Times New Roman"/>
          <w:b/>
          <w:bCs/>
          <w:lang w:val="fr-FR"/>
        </w:rPr>
        <w:t>2.5</w:t>
      </w:r>
      <w:r w:rsidRPr="003A03EA">
        <w:rPr>
          <w:rFonts w:cs="Times New Roman"/>
          <w:b/>
          <w:bCs/>
          <w:lang w:val="fr-FR"/>
        </w:rPr>
        <w:t>00 €</w:t>
      </w:r>
      <w:r w:rsidRPr="003A03EA">
        <w:rPr>
          <w:rFonts w:cs="Times New Roman"/>
          <w:bCs/>
          <w:lang w:val="fr-FR"/>
        </w:rPr>
        <w:t xml:space="preserve"> </w:t>
      </w:r>
      <w:r w:rsidR="009B44CB">
        <w:rPr>
          <w:rFonts w:cs="Times New Roman"/>
          <w:bCs/>
          <w:lang w:val="fr-FR"/>
        </w:rPr>
        <w:t xml:space="preserve">(hors TVA) </w:t>
      </w:r>
      <w:r w:rsidRPr="003A03EA">
        <w:rPr>
          <w:rFonts w:cs="Times New Roman"/>
          <w:bCs/>
          <w:lang w:val="fr-FR"/>
        </w:rPr>
        <w:t>sans préjudice aucun à l’application des dispositions des article</w:t>
      </w:r>
      <w:r>
        <w:rPr>
          <w:rFonts w:cs="Times New Roman"/>
          <w:bCs/>
          <w:lang w:val="fr-FR"/>
        </w:rPr>
        <w:t>s</w:t>
      </w:r>
      <w:r w:rsidRPr="003A03EA">
        <w:rPr>
          <w:rFonts w:cs="Times New Roman"/>
          <w:bCs/>
          <w:lang w:val="fr-FR"/>
        </w:rPr>
        <w:t xml:space="preserve"> 990 et 991 du Code judiciaire </w:t>
      </w:r>
      <w:r w:rsidRPr="003A03EA">
        <w:rPr>
          <w:rFonts w:cs="Times New Roman"/>
          <w:lang w:val="fr-FR"/>
        </w:rPr>
        <w:t>et qui ne constitue donc ni un minimum, ni un maximum.</w:t>
      </w:r>
    </w:p>
    <w:p w:rsidR="007922C0" w:rsidRDefault="007922C0" w:rsidP="007922C0">
      <w:pPr>
        <w:tabs>
          <w:tab w:val="left" w:pos="-1440"/>
        </w:tabs>
        <w:snapToGrid w:val="0"/>
        <w:jc w:val="both"/>
        <w:rPr>
          <w:rFonts w:cs="Times New Roman"/>
          <w:bCs/>
          <w:lang w:val="fr-FR"/>
        </w:rPr>
      </w:pPr>
    </w:p>
    <w:p w:rsidR="009B44CB" w:rsidRPr="00060944" w:rsidRDefault="009B44CB" w:rsidP="009B44CB">
      <w:pPr>
        <w:tabs>
          <w:tab w:val="left" w:pos="-1440"/>
        </w:tabs>
        <w:snapToGrid w:val="0"/>
        <w:jc w:val="both"/>
        <w:rPr>
          <w:rFonts w:cs="Times New Roman"/>
          <w:lang w:val="fr-FR"/>
        </w:rPr>
      </w:pPr>
      <w:r w:rsidRPr="003A03EA">
        <w:rPr>
          <w:rFonts w:cs="Times New Roman"/>
          <w:bCs/>
          <w:lang w:val="fr-FR"/>
        </w:rPr>
        <w:t xml:space="preserve">Le tribunal fixe à </w:t>
      </w:r>
      <w:r>
        <w:rPr>
          <w:rFonts w:cs="Times New Roman"/>
          <w:b/>
          <w:bCs/>
          <w:lang w:val="fr-FR"/>
        </w:rPr>
        <w:t>1.5</w:t>
      </w:r>
      <w:r w:rsidRPr="003A03EA">
        <w:rPr>
          <w:rFonts w:cs="Times New Roman"/>
          <w:b/>
          <w:bCs/>
          <w:lang w:val="fr-FR"/>
        </w:rPr>
        <w:t>00 €</w:t>
      </w:r>
      <w:r w:rsidRPr="003A03EA">
        <w:rPr>
          <w:rFonts w:cs="Times New Roman"/>
          <w:bCs/>
          <w:lang w:val="fr-FR"/>
        </w:rPr>
        <w:t xml:space="preserve"> le montant de </w:t>
      </w:r>
      <w:r w:rsidR="00CA77CF">
        <w:rPr>
          <w:rFonts w:cs="Times New Roman"/>
          <w:bCs/>
          <w:lang w:val="fr-FR"/>
        </w:rPr>
        <w:t xml:space="preserve">la </w:t>
      </w:r>
      <w:r w:rsidRPr="003A03EA">
        <w:rPr>
          <w:rFonts w:cs="Times New Roman"/>
          <w:bCs/>
          <w:lang w:val="fr-FR"/>
        </w:rPr>
        <w:t xml:space="preserve">provision </w:t>
      </w:r>
      <w:r>
        <w:rPr>
          <w:rFonts w:cs="Times New Roman"/>
          <w:lang w:val="fr-FR"/>
        </w:rPr>
        <w:t>qu’il y a lieu de majorer de la TVA dans l’hypothèse où l’expert est assujetti à la TVA.  Cette provision</w:t>
      </w:r>
      <w:r w:rsidRPr="00060944">
        <w:rPr>
          <w:rFonts w:cs="Times New Roman"/>
          <w:lang w:val="fr-FR"/>
        </w:rPr>
        <w:t xml:space="preserve"> sera consignée par </w:t>
      </w:r>
      <w:r w:rsidRPr="00060944">
        <w:rPr>
          <w:rFonts w:cs="Times New Roman"/>
          <w:b/>
          <w:bCs/>
          <w:lang w:val="fr-FR"/>
        </w:rPr>
        <w:t>la partie défenderesse</w:t>
      </w:r>
      <w:r>
        <w:rPr>
          <w:rFonts w:cs="Times New Roman"/>
          <w:b/>
          <w:bCs/>
          <w:lang w:val="fr-FR"/>
        </w:rPr>
        <w:t>, dans les 15 jours de la notification du présent jugement,</w:t>
      </w:r>
      <w:r w:rsidRPr="00060944">
        <w:rPr>
          <w:rFonts w:cs="Times New Roman"/>
          <w:lang w:val="fr-FR"/>
        </w:rPr>
        <w:t xml:space="preserve"> sur le compte du greffe du Tribunal du Travail de LIEGE – Division VERVIERS, en précisant la référence </w:t>
      </w:r>
      <w:r w:rsidRPr="00060944">
        <w:rPr>
          <w:rFonts w:cs="Times New Roman"/>
          <w:b/>
          <w:bCs/>
          <w:lang w:val="fr-FR"/>
        </w:rPr>
        <w:t xml:space="preserve">R.G. </w:t>
      </w:r>
      <w:r>
        <w:rPr>
          <w:rFonts w:cs="Times New Roman"/>
          <w:b/>
          <w:bCs/>
          <w:lang w:val="fr-FR"/>
        </w:rPr>
        <w:t>21</w:t>
      </w:r>
      <w:r w:rsidRPr="00060944">
        <w:rPr>
          <w:rFonts w:cs="Times New Roman"/>
          <w:b/>
          <w:bCs/>
          <w:lang w:val="fr-FR"/>
        </w:rPr>
        <w:t>/</w:t>
      </w:r>
      <w:r>
        <w:rPr>
          <w:rFonts w:cs="Times New Roman"/>
          <w:b/>
          <w:bCs/>
          <w:lang w:val="fr-FR"/>
        </w:rPr>
        <w:t>434</w:t>
      </w:r>
      <w:r w:rsidRPr="00060944">
        <w:rPr>
          <w:rFonts w:cs="Times New Roman"/>
          <w:b/>
          <w:bCs/>
          <w:lang w:val="fr-FR"/>
        </w:rPr>
        <w:t>/A </w:t>
      </w:r>
      <w:r w:rsidRPr="00060944">
        <w:rPr>
          <w:rFonts w:cs="Times New Roman"/>
          <w:lang w:val="fr-FR"/>
        </w:rPr>
        <w:t>;</w:t>
      </w:r>
    </w:p>
    <w:p w:rsidR="009B44CB" w:rsidRDefault="009B44CB" w:rsidP="009B44CB">
      <w:pPr>
        <w:tabs>
          <w:tab w:val="left" w:pos="-1440"/>
        </w:tabs>
        <w:snapToGrid w:val="0"/>
        <w:jc w:val="both"/>
        <w:rPr>
          <w:rFonts w:cs="Times New Roman"/>
          <w:bCs/>
          <w:lang w:val="fr-FR"/>
        </w:rPr>
      </w:pPr>
    </w:p>
    <w:p w:rsidR="009B44CB" w:rsidRPr="003A03EA" w:rsidRDefault="009B44CB" w:rsidP="009B44CB">
      <w:pPr>
        <w:tabs>
          <w:tab w:val="left" w:pos="-1440"/>
        </w:tabs>
        <w:snapToGrid w:val="0"/>
        <w:jc w:val="both"/>
        <w:rPr>
          <w:rFonts w:cs="Times New Roman"/>
          <w:bCs/>
          <w:lang w:val="fr-FR"/>
        </w:rPr>
      </w:pPr>
      <w:r w:rsidRPr="003A03EA">
        <w:rPr>
          <w:rFonts w:cs="Times New Roman"/>
          <w:bCs/>
          <w:lang w:val="fr-FR"/>
        </w:rPr>
        <w:t xml:space="preserve">Le tribunal fixe à </w:t>
      </w:r>
      <w:r>
        <w:rPr>
          <w:rFonts w:cs="Times New Roman"/>
          <w:b/>
          <w:bCs/>
          <w:lang w:val="fr-FR"/>
        </w:rPr>
        <w:t>1.5</w:t>
      </w:r>
      <w:r w:rsidRPr="003A03EA">
        <w:rPr>
          <w:rFonts w:cs="Times New Roman"/>
          <w:b/>
          <w:bCs/>
          <w:lang w:val="fr-FR"/>
        </w:rPr>
        <w:t>00 €</w:t>
      </w:r>
      <w:r w:rsidRPr="003A03EA">
        <w:rPr>
          <w:rFonts w:cs="Times New Roman"/>
          <w:bCs/>
          <w:lang w:val="fr-FR"/>
        </w:rPr>
        <w:t xml:space="preserve"> la partie raisonnable de la provision pouvant être libérée au profit de l’expert par la partie qui a consigné la provision  et dit </w:t>
      </w:r>
      <w:r w:rsidRPr="003A03EA">
        <w:rPr>
          <w:rFonts w:cs="Times New Roman"/>
          <w:lang w:val="fr-FR"/>
        </w:rPr>
        <w:t>que cette libération devra avoir lieu immédiatement après la tenue de la première séance d’expertise.</w:t>
      </w:r>
    </w:p>
    <w:p w:rsidR="007922C0" w:rsidRPr="003A03EA" w:rsidRDefault="007922C0" w:rsidP="007922C0">
      <w:pPr>
        <w:tabs>
          <w:tab w:val="left" w:pos="-1440"/>
        </w:tabs>
        <w:snapToGrid w:val="0"/>
        <w:jc w:val="both"/>
        <w:rPr>
          <w:rFonts w:cs="Times New Roman"/>
          <w:bCs/>
          <w:lang w:val="fr-FR"/>
        </w:rPr>
      </w:pPr>
    </w:p>
    <w:p w:rsidR="007922C0" w:rsidRPr="003A03EA" w:rsidRDefault="007922C0" w:rsidP="007922C0">
      <w:pPr>
        <w:tabs>
          <w:tab w:val="left" w:pos="-1440"/>
        </w:tabs>
        <w:snapToGrid w:val="0"/>
        <w:jc w:val="both"/>
        <w:rPr>
          <w:rFonts w:cs="Times New Roman"/>
          <w:bCs/>
          <w:lang w:val="fr-FR"/>
        </w:rPr>
      </w:pPr>
      <w:r w:rsidRPr="003A03EA">
        <w:rPr>
          <w:rFonts w:cs="Times New Roman"/>
          <w:b/>
          <w:lang w:val="fr-FR"/>
        </w:rPr>
        <w:t>DIT</w:t>
      </w:r>
      <w:r w:rsidRPr="003A03EA">
        <w:rPr>
          <w:rFonts w:cs="Times New Roman"/>
          <w:bCs/>
          <w:lang w:val="fr-FR"/>
        </w:rPr>
        <w:t xml:space="preserve"> que l'expert déposera son rapport écrit au greffe de cette juridiction dans les six mois </w:t>
      </w:r>
      <w:r w:rsidRPr="003A03EA">
        <w:rPr>
          <w:rFonts w:cs="Times New Roman"/>
          <w:bCs/>
          <w:u w:val="single"/>
          <w:lang w:val="fr-FR"/>
        </w:rPr>
        <w:t>à partir de la prononciation</w:t>
      </w:r>
      <w:r w:rsidRPr="003A03EA">
        <w:rPr>
          <w:rFonts w:cs="Times New Roman"/>
          <w:bCs/>
          <w:lang w:val="fr-FR"/>
        </w:rPr>
        <w:t xml:space="preserve"> du présent jugement qui lui aura été notifié par le greffier conformément à l’article 973, § 2, alinéa 3 du Code judiciaire ;</w:t>
      </w:r>
    </w:p>
    <w:p w:rsidR="007922C0" w:rsidRPr="003A03EA" w:rsidRDefault="007922C0" w:rsidP="007922C0">
      <w:pPr>
        <w:tabs>
          <w:tab w:val="left" w:pos="-1440"/>
        </w:tabs>
        <w:snapToGrid w:val="0"/>
        <w:jc w:val="both"/>
        <w:rPr>
          <w:rFonts w:cs="Times New Roman"/>
          <w:lang w:val="fr-FR"/>
        </w:rPr>
      </w:pPr>
    </w:p>
    <w:p w:rsidR="007922C0" w:rsidRPr="003A03EA" w:rsidRDefault="007922C0" w:rsidP="007922C0">
      <w:pPr>
        <w:tabs>
          <w:tab w:val="left" w:pos="-1440"/>
        </w:tabs>
        <w:snapToGrid w:val="0"/>
        <w:jc w:val="both"/>
        <w:rPr>
          <w:rFonts w:cs="Times New Roman"/>
          <w:lang w:val="fr-FR"/>
        </w:rPr>
      </w:pPr>
      <w:r w:rsidRPr="003A03EA">
        <w:rPr>
          <w:rFonts w:cs="Times New Roman"/>
          <w:b/>
          <w:bCs/>
          <w:lang w:val="fr-FR"/>
        </w:rPr>
        <w:t>COMMET</w:t>
      </w:r>
      <w:r w:rsidRPr="003A03EA">
        <w:rPr>
          <w:rFonts w:cs="Times New Roman"/>
          <w:lang w:val="fr-FR"/>
        </w:rPr>
        <w:t xml:space="preserve"> le juge présidant la chambre pour assurer de contrôle de l’expertise et prendre les décisions nécessaires à la bonne marche de celle-ci ;</w:t>
      </w:r>
    </w:p>
    <w:p w:rsidR="007922C0" w:rsidRPr="003A03EA" w:rsidRDefault="007922C0" w:rsidP="007922C0">
      <w:pPr>
        <w:tabs>
          <w:tab w:val="left" w:pos="-1440"/>
        </w:tabs>
        <w:snapToGrid w:val="0"/>
        <w:jc w:val="both"/>
        <w:rPr>
          <w:rFonts w:cs="Times New Roman"/>
          <w:b/>
          <w:bCs/>
          <w:lang w:val="fr-FR"/>
        </w:rPr>
      </w:pPr>
    </w:p>
    <w:p w:rsidR="007922C0" w:rsidRPr="003A03EA" w:rsidRDefault="007922C0" w:rsidP="007922C0">
      <w:pPr>
        <w:tabs>
          <w:tab w:val="left" w:pos="-1440"/>
        </w:tabs>
        <w:snapToGrid w:val="0"/>
        <w:jc w:val="both"/>
        <w:rPr>
          <w:rFonts w:cs="Times New Roman"/>
          <w:lang w:val="fr-FR"/>
        </w:rPr>
      </w:pPr>
      <w:r w:rsidRPr="003A03EA">
        <w:rPr>
          <w:rFonts w:cs="Times New Roman"/>
          <w:b/>
          <w:lang w:val="fr-FR"/>
        </w:rPr>
        <w:t xml:space="preserve">RÉSERVE </w:t>
      </w:r>
      <w:r w:rsidRPr="003A03EA">
        <w:rPr>
          <w:rFonts w:cs="Times New Roman"/>
          <w:lang w:val="fr-FR"/>
        </w:rPr>
        <w:t>les dépens et la question du salaire de base ;</w:t>
      </w:r>
    </w:p>
    <w:p w:rsidR="007922C0" w:rsidRPr="003A03EA" w:rsidRDefault="007922C0" w:rsidP="007922C0">
      <w:pPr>
        <w:tabs>
          <w:tab w:val="left" w:pos="-1440"/>
        </w:tabs>
        <w:snapToGrid w:val="0"/>
        <w:jc w:val="both"/>
        <w:rPr>
          <w:rFonts w:cs="Times New Roman"/>
          <w:lang w:val="fr-FR"/>
        </w:rPr>
      </w:pPr>
    </w:p>
    <w:p w:rsidR="007922C0" w:rsidRPr="003A03EA" w:rsidRDefault="007922C0" w:rsidP="007922C0">
      <w:pPr>
        <w:tabs>
          <w:tab w:val="left" w:pos="-1440"/>
        </w:tabs>
        <w:snapToGrid w:val="0"/>
        <w:jc w:val="both"/>
        <w:rPr>
          <w:rFonts w:cs="Times New Roman"/>
          <w:lang w:val="fr-FR"/>
        </w:rPr>
      </w:pPr>
      <w:r w:rsidRPr="003A03EA">
        <w:rPr>
          <w:rFonts w:cs="Times New Roman"/>
          <w:b/>
          <w:lang w:val="fr-FR"/>
        </w:rPr>
        <w:t xml:space="preserve">RENVOIE </w:t>
      </w:r>
      <w:r w:rsidRPr="003A03EA">
        <w:rPr>
          <w:rFonts w:cs="Times New Roman"/>
          <w:lang w:val="fr-FR"/>
        </w:rPr>
        <w:t>la cause au rôle.</w:t>
      </w:r>
    </w:p>
    <w:p w:rsidR="00F621E2" w:rsidRDefault="00F621E2" w:rsidP="00B17BFB">
      <w:pPr>
        <w:tabs>
          <w:tab w:val="left" w:pos="-1440"/>
        </w:tabs>
        <w:snapToGrid w:val="0"/>
        <w:jc w:val="both"/>
        <w:rPr>
          <w:rFonts w:ascii="Tahoma" w:eastAsia="Times New Roman" w:hAnsi="Tahoma"/>
          <w:b/>
          <w:sz w:val="20"/>
          <w:szCs w:val="20"/>
        </w:rPr>
      </w:pPr>
    </w:p>
    <w:p w:rsidR="00A036BA" w:rsidRPr="000069F2" w:rsidRDefault="00A036BA" w:rsidP="006C0E37">
      <w:pPr>
        <w:tabs>
          <w:tab w:val="left" w:pos="-1440"/>
        </w:tabs>
        <w:snapToGrid w:val="0"/>
        <w:jc w:val="both"/>
        <w:rPr>
          <w:b/>
        </w:rPr>
      </w:pPr>
      <w:r w:rsidRPr="000069F2">
        <w:rPr>
          <w:b/>
        </w:rPr>
        <w:t>AINSI JUGÉ PAR LE TRIBUNAL DU TRAVAIL DE LIEGE DIVISION DE VERVIERS (DEUXIEME CHAMBRE) composé de</w:t>
      </w:r>
    </w:p>
    <w:p w:rsidR="00A036BA" w:rsidRPr="000069F2" w:rsidRDefault="00A036BA" w:rsidP="006C0E37">
      <w:pPr>
        <w:tabs>
          <w:tab w:val="left" w:pos="-1440"/>
        </w:tabs>
        <w:snapToGrid w:val="0"/>
        <w:jc w:val="both"/>
        <w:rPr>
          <w:b/>
        </w:rPr>
      </w:pPr>
    </w:p>
    <w:p w:rsidR="00A036BA" w:rsidRPr="000069F2" w:rsidRDefault="00A036BA" w:rsidP="006C0E37">
      <w:pPr>
        <w:tabs>
          <w:tab w:val="left" w:pos="-1440"/>
        </w:tabs>
        <w:snapToGrid w:val="0"/>
        <w:jc w:val="both"/>
        <w:rPr>
          <w:b/>
        </w:rPr>
      </w:pPr>
      <w:r w:rsidRPr="000069F2">
        <w:rPr>
          <w:rFonts w:eastAsia="Times New Roman"/>
          <w:b/>
        </w:rPr>
        <w:t>BELLEFLAMME Viviane</w:t>
      </w:r>
      <w:r w:rsidRPr="000069F2">
        <w:rPr>
          <w:b/>
        </w:rPr>
        <w:t>, Juge effectif – Président de la chambre.</w:t>
      </w:r>
    </w:p>
    <w:p w:rsidR="00A036BA" w:rsidRPr="000069F2" w:rsidRDefault="00A036BA" w:rsidP="006C0E37">
      <w:pPr>
        <w:tabs>
          <w:tab w:val="left" w:pos="-1440"/>
        </w:tabs>
        <w:snapToGrid w:val="0"/>
        <w:jc w:val="both"/>
        <w:rPr>
          <w:b/>
        </w:rPr>
      </w:pPr>
      <w:r w:rsidRPr="002518AA">
        <w:rPr>
          <w:rFonts w:eastAsia="Times New Roman"/>
          <w:b/>
          <w:lang w:val="fr-FR"/>
        </w:rPr>
        <w:t xml:space="preserve">MARKOWICZ </w:t>
      </w:r>
      <w:r>
        <w:rPr>
          <w:rFonts w:eastAsia="Times New Roman"/>
          <w:b/>
          <w:lang w:val="fr-FR"/>
        </w:rPr>
        <w:t>Lucasz</w:t>
      </w:r>
      <w:r w:rsidRPr="000069F2">
        <w:rPr>
          <w:b/>
        </w:rPr>
        <w:t>, Juge social employeur.</w:t>
      </w:r>
    </w:p>
    <w:p w:rsidR="00A036BA" w:rsidRPr="000069F2" w:rsidRDefault="00A036BA" w:rsidP="006C0E37">
      <w:pPr>
        <w:tabs>
          <w:tab w:val="left" w:pos="-1440"/>
        </w:tabs>
        <w:snapToGrid w:val="0"/>
        <w:jc w:val="both"/>
        <w:rPr>
          <w:b/>
        </w:rPr>
      </w:pPr>
      <w:r>
        <w:rPr>
          <w:rFonts w:eastAsia="Times New Roman"/>
          <w:b/>
        </w:rPr>
        <w:t>GARROY Jérôme</w:t>
      </w:r>
      <w:r w:rsidRPr="000069F2">
        <w:rPr>
          <w:b/>
        </w:rPr>
        <w:t xml:space="preserve">, Juge social travailleur </w:t>
      </w:r>
      <w:r>
        <w:rPr>
          <w:b/>
        </w:rPr>
        <w:t>ouvrier</w:t>
      </w:r>
      <w:r w:rsidRPr="000069F2">
        <w:rPr>
          <w:b/>
        </w:rPr>
        <w:t>.</w:t>
      </w:r>
    </w:p>
    <w:p w:rsidR="00A036BA" w:rsidRPr="000069F2" w:rsidRDefault="00A036BA" w:rsidP="006C0E37">
      <w:pPr>
        <w:tabs>
          <w:tab w:val="left" w:pos="-1440"/>
        </w:tabs>
        <w:snapToGrid w:val="0"/>
        <w:jc w:val="both"/>
        <w:rPr>
          <w:b/>
        </w:rPr>
      </w:pPr>
      <w:r w:rsidRPr="000069F2">
        <w:rPr>
          <w:b/>
        </w:rPr>
        <w:t>qui ont participé au délibéré.</w:t>
      </w:r>
    </w:p>
    <w:p w:rsidR="00A036BA" w:rsidRPr="000069F2" w:rsidRDefault="00A036BA" w:rsidP="006C0E37">
      <w:pPr>
        <w:tabs>
          <w:tab w:val="left" w:pos="-1440"/>
        </w:tabs>
        <w:snapToGrid w:val="0"/>
        <w:jc w:val="both"/>
        <w:rPr>
          <w:b/>
        </w:rPr>
      </w:pPr>
    </w:p>
    <w:p w:rsidR="00A036BA" w:rsidRDefault="00A036BA" w:rsidP="006C0E37">
      <w:pPr>
        <w:tabs>
          <w:tab w:val="left" w:pos="-1440"/>
        </w:tabs>
        <w:snapToGrid w:val="0"/>
        <w:jc w:val="both"/>
        <w:rPr>
          <w:b/>
        </w:rPr>
      </w:pPr>
    </w:p>
    <w:p w:rsidR="000E63CE" w:rsidRDefault="000E63CE" w:rsidP="006C0E37">
      <w:pPr>
        <w:tabs>
          <w:tab w:val="left" w:pos="-1440"/>
        </w:tabs>
        <w:snapToGrid w:val="0"/>
        <w:jc w:val="both"/>
        <w:rPr>
          <w:b/>
        </w:rPr>
      </w:pPr>
    </w:p>
    <w:p w:rsidR="000E63CE" w:rsidRPr="000069F2" w:rsidRDefault="000E63CE" w:rsidP="006C0E37">
      <w:pPr>
        <w:tabs>
          <w:tab w:val="left" w:pos="-1440"/>
        </w:tabs>
        <w:snapToGrid w:val="0"/>
        <w:jc w:val="both"/>
        <w:rPr>
          <w:b/>
        </w:rPr>
      </w:pPr>
    </w:p>
    <w:p w:rsidR="00A036BA" w:rsidRPr="000069F2" w:rsidRDefault="00A036BA" w:rsidP="006C0E37">
      <w:pPr>
        <w:tabs>
          <w:tab w:val="left" w:pos="-1440"/>
        </w:tabs>
        <w:snapToGrid w:val="0"/>
        <w:jc w:val="both"/>
        <w:rPr>
          <w:b/>
        </w:rPr>
      </w:pPr>
    </w:p>
    <w:p w:rsidR="00A036BA" w:rsidRPr="000069F2" w:rsidRDefault="00A036BA" w:rsidP="006C0E37">
      <w:pPr>
        <w:tabs>
          <w:tab w:val="left" w:pos="-1440"/>
        </w:tabs>
        <w:snapToGrid w:val="0"/>
        <w:jc w:val="both"/>
        <w:rPr>
          <w:b/>
        </w:rPr>
      </w:pPr>
    </w:p>
    <w:p w:rsidR="00A036BA" w:rsidRPr="000069F2" w:rsidRDefault="00A036BA" w:rsidP="006C0E37">
      <w:pPr>
        <w:tabs>
          <w:tab w:val="left" w:pos="-1440"/>
        </w:tabs>
        <w:snapToGrid w:val="0"/>
        <w:jc w:val="both"/>
        <w:rPr>
          <w:b/>
        </w:rPr>
      </w:pPr>
    </w:p>
    <w:p w:rsidR="00A036BA" w:rsidRPr="000069F2" w:rsidRDefault="00A036BA" w:rsidP="006C0E37">
      <w:pPr>
        <w:tabs>
          <w:tab w:val="left" w:pos="-1440"/>
        </w:tabs>
        <w:snapToGrid w:val="0"/>
        <w:ind w:right="-776"/>
        <w:jc w:val="both"/>
        <w:rPr>
          <w:rFonts w:eastAsia="Times New Roman"/>
          <w:b/>
        </w:rPr>
      </w:pPr>
      <w:r w:rsidRPr="000069F2">
        <w:rPr>
          <w:rFonts w:eastAsia="Times New Roman"/>
          <w:b/>
        </w:rPr>
        <w:t>BELLEFLAMME Viviane</w:t>
      </w:r>
      <w:r w:rsidRPr="000069F2">
        <w:rPr>
          <w:b/>
        </w:rPr>
        <w:tab/>
        <w:t xml:space="preserve">      </w:t>
      </w:r>
      <w:r>
        <w:rPr>
          <w:rFonts w:eastAsia="Times New Roman"/>
          <w:b/>
        </w:rPr>
        <w:t>GARROY Jérôme</w:t>
      </w:r>
      <w:r w:rsidRPr="000069F2">
        <w:rPr>
          <w:rFonts w:eastAsia="Times New Roman"/>
          <w:b/>
        </w:rPr>
        <w:tab/>
      </w:r>
      <w:r w:rsidRPr="00C10815">
        <w:rPr>
          <w:rFonts w:eastAsia="Times New Roman"/>
          <w:b/>
          <w:lang w:val="fr-FR"/>
        </w:rPr>
        <w:t>MARKOWICZ Lucasz</w:t>
      </w:r>
    </w:p>
    <w:p w:rsidR="00A036BA" w:rsidRPr="000069F2" w:rsidRDefault="00A036BA" w:rsidP="006C0E37">
      <w:pPr>
        <w:tabs>
          <w:tab w:val="left" w:pos="-1440"/>
        </w:tabs>
        <w:snapToGrid w:val="0"/>
        <w:jc w:val="both"/>
        <w:rPr>
          <w:b/>
        </w:rPr>
      </w:pPr>
    </w:p>
    <w:p w:rsidR="00A036BA" w:rsidRDefault="00A036BA" w:rsidP="00211463">
      <w:pPr>
        <w:tabs>
          <w:tab w:val="left" w:pos="-1440"/>
        </w:tabs>
        <w:snapToGrid w:val="0"/>
        <w:jc w:val="both"/>
        <w:rPr>
          <w:b/>
          <w:bCs/>
        </w:rPr>
      </w:pPr>
    </w:p>
    <w:p w:rsidR="000E63CE" w:rsidRDefault="000E63CE" w:rsidP="00211463">
      <w:pPr>
        <w:tabs>
          <w:tab w:val="left" w:pos="-1440"/>
        </w:tabs>
        <w:snapToGrid w:val="0"/>
        <w:jc w:val="both"/>
        <w:rPr>
          <w:b/>
          <w:bCs/>
        </w:rPr>
      </w:pPr>
    </w:p>
    <w:p w:rsidR="000E63CE" w:rsidRDefault="000E63CE" w:rsidP="00211463">
      <w:pPr>
        <w:tabs>
          <w:tab w:val="left" w:pos="-1440"/>
        </w:tabs>
        <w:snapToGrid w:val="0"/>
        <w:jc w:val="both"/>
        <w:rPr>
          <w:b/>
          <w:bCs/>
        </w:rPr>
      </w:pPr>
    </w:p>
    <w:p w:rsidR="000E63CE" w:rsidRDefault="000E63CE" w:rsidP="00211463">
      <w:pPr>
        <w:tabs>
          <w:tab w:val="left" w:pos="-1440"/>
        </w:tabs>
        <w:snapToGrid w:val="0"/>
        <w:jc w:val="both"/>
        <w:rPr>
          <w:b/>
          <w:bCs/>
        </w:rPr>
      </w:pPr>
    </w:p>
    <w:p w:rsidR="000E63CE" w:rsidRDefault="000E63CE" w:rsidP="00211463">
      <w:pPr>
        <w:tabs>
          <w:tab w:val="left" w:pos="-1440"/>
        </w:tabs>
        <w:snapToGrid w:val="0"/>
        <w:jc w:val="both"/>
        <w:rPr>
          <w:b/>
          <w:bCs/>
        </w:rPr>
      </w:pPr>
    </w:p>
    <w:p w:rsidR="000E63CE" w:rsidRPr="000069F2" w:rsidRDefault="000E63CE" w:rsidP="00211463">
      <w:pPr>
        <w:tabs>
          <w:tab w:val="left" w:pos="-1440"/>
        </w:tabs>
        <w:snapToGrid w:val="0"/>
        <w:jc w:val="both"/>
        <w:rPr>
          <w:b/>
          <w:bCs/>
        </w:rPr>
      </w:pPr>
    </w:p>
    <w:p w:rsidR="00A036BA" w:rsidRPr="000069F2" w:rsidRDefault="00A036BA" w:rsidP="00211463">
      <w:pPr>
        <w:tabs>
          <w:tab w:val="left" w:pos="-1440"/>
        </w:tabs>
        <w:snapToGrid w:val="0"/>
        <w:jc w:val="both"/>
        <w:rPr>
          <w:b/>
        </w:rPr>
      </w:pPr>
      <w:r w:rsidRPr="000069F2">
        <w:rPr>
          <w:b/>
          <w:bCs/>
        </w:rPr>
        <w:t xml:space="preserve">et prononcé </w:t>
      </w:r>
      <w:r>
        <w:rPr>
          <w:b/>
          <w:bCs/>
        </w:rPr>
        <w:t xml:space="preserve">ANTICIPATIVEMENT </w:t>
      </w:r>
      <w:r w:rsidRPr="000069F2">
        <w:rPr>
          <w:b/>
          <w:bCs/>
        </w:rPr>
        <w:t xml:space="preserve">en langue française par </w:t>
      </w:r>
      <w:r w:rsidRPr="000069F2">
        <w:rPr>
          <w:rFonts w:eastAsia="Times New Roman"/>
          <w:b/>
        </w:rPr>
        <w:t>BELLEFLAMME Viviane</w:t>
      </w:r>
      <w:r w:rsidRPr="000069F2">
        <w:rPr>
          <w:b/>
        </w:rPr>
        <w:t xml:space="preserve">, Juge effectif – Président de la chambre, </w:t>
      </w:r>
      <w:r w:rsidRPr="000069F2">
        <w:rPr>
          <w:b/>
          <w:bCs/>
        </w:rPr>
        <w:t xml:space="preserve">à l’audience publique de la 2ème chambre du TRIBUNAL DU TRAVAIL DE LIEGE – DIVISION DE VERVIERS, le </w:t>
      </w:r>
      <w:r>
        <w:rPr>
          <w:b/>
          <w:bCs/>
        </w:rPr>
        <w:t>23</w:t>
      </w:r>
      <w:r w:rsidRPr="000069F2">
        <w:rPr>
          <w:b/>
          <w:bCs/>
        </w:rPr>
        <w:t xml:space="preserve"> juin 2022</w:t>
      </w:r>
      <w:r w:rsidRPr="000069F2">
        <w:rPr>
          <w:b/>
        </w:rPr>
        <w:t xml:space="preserve">, assisté de </w:t>
      </w:r>
      <w:r w:rsidRPr="000069F2">
        <w:rPr>
          <w:rFonts w:eastAsia="Times New Roman"/>
          <w:b/>
        </w:rPr>
        <w:t>MATHY Florian</w:t>
      </w:r>
      <w:r w:rsidRPr="000069F2">
        <w:rPr>
          <w:b/>
        </w:rPr>
        <w:t xml:space="preserve">, Greffier. </w:t>
      </w:r>
    </w:p>
    <w:p w:rsidR="00A036BA" w:rsidRPr="000069F2" w:rsidRDefault="00A036BA" w:rsidP="006C0E37">
      <w:pPr>
        <w:rPr>
          <w:b/>
        </w:rPr>
      </w:pPr>
    </w:p>
    <w:p w:rsidR="00A036BA" w:rsidRPr="000069F2" w:rsidRDefault="00A036BA" w:rsidP="006C0E37">
      <w:pPr>
        <w:rPr>
          <w:b/>
        </w:rPr>
      </w:pPr>
    </w:p>
    <w:p w:rsidR="00A036BA" w:rsidRPr="000069F2" w:rsidRDefault="00A036BA" w:rsidP="006C0E37">
      <w:pPr>
        <w:rPr>
          <w:b/>
        </w:rPr>
      </w:pPr>
    </w:p>
    <w:p w:rsidR="00A036BA" w:rsidRPr="000069F2" w:rsidRDefault="00A036BA" w:rsidP="006C0E37">
      <w:pPr>
        <w:rPr>
          <w:b/>
        </w:rPr>
      </w:pPr>
    </w:p>
    <w:p w:rsidR="00A036BA" w:rsidRPr="000069F2" w:rsidRDefault="00A036BA" w:rsidP="006C0E37">
      <w:pPr>
        <w:rPr>
          <w:b/>
        </w:rPr>
      </w:pPr>
    </w:p>
    <w:p w:rsidR="00A036BA" w:rsidRPr="00721E57" w:rsidRDefault="00A036BA" w:rsidP="00721E57">
      <w:pPr>
        <w:tabs>
          <w:tab w:val="left" w:pos="-1440"/>
        </w:tabs>
        <w:snapToGrid w:val="0"/>
        <w:jc w:val="both"/>
        <w:rPr>
          <w:b/>
        </w:rPr>
      </w:pPr>
      <w:r w:rsidRPr="000069F2">
        <w:rPr>
          <w:rFonts w:eastAsia="Times New Roman"/>
          <w:b/>
        </w:rPr>
        <w:t xml:space="preserve">             </w:t>
      </w:r>
      <w:r>
        <w:rPr>
          <w:rFonts w:eastAsia="Times New Roman"/>
          <w:b/>
        </w:rPr>
        <w:t>BELLEFLAMME Viviane</w:t>
      </w:r>
      <w:r>
        <w:rPr>
          <w:rFonts w:eastAsia="Times New Roman"/>
          <w:b/>
        </w:rPr>
        <w:tab/>
      </w:r>
      <w:r>
        <w:rPr>
          <w:rFonts w:eastAsia="Times New Roman"/>
          <w:b/>
        </w:rPr>
        <w:tab/>
      </w:r>
      <w:r>
        <w:rPr>
          <w:rFonts w:eastAsia="Times New Roman"/>
          <w:b/>
        </w:rPr>
        <w:tab/>
        <w:t>MATHY Florian</w:t>
      </w:r>
    </w:p>
    <w:p w:rsidR="00A036BA" w:rsidRPr="004A197C" w:rsidRDefault="00A036BA" w:rsidP="00B17BFB">
      <w:pPr>
        <w:tabs>
          <w:tab w:val="left" w:pos="-1440"/>
        </w:tabs>
        <w:snapToGrid w:val="0"/>
        <w:jc w:val="both"/>
        <w:rPr>
          <w:rFonts w:ascii="Tahoma" w:eastAsia="Times New Roman" w:hAnsi="Tahoma"/>
          <w:b/>
          <w:sz w:val="20"/>
          <w:szCs w:val="20"/>
        </w:rPr>
      </w:pPr>
    </w:p>
    <w:sectPr w:rsidR="00A036BA" w:rsidRPr="004A197C" w:rsidSect="00C74467">
      <w:headerReference w:type="default" r:id="rId16"/>
      <w:pgSz w:w="11905" w:h="16837"/>
      <w:pgMar w:top="1134" w:right="1735" w:bottom="1134" w:left="159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4D55" w:rsidRDefault="008D4D55">
      <w:r>
        <w:separator/>
      </w:r>
    </w:p>
  </w:endnote>
  <w:endnote w:type="continuationSeparator" w:id="0">
    <w:p w:rsidR="008D4D55" w:rsidRDefault="008D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umberland AMT">
    <w:charset w:val="00"/>
    <w:family w:val="modern"/>
    <w:pitch w:val="fixed"/>
  </w:font>
  <w:font w:name="StarSymbol">
    <w:charset w:val="00"/>
    <w:family w:val="auto"/>
    <w:pitch w:val="default"/>
  </w:font>
  <w:font w:name="MS Sans Serif">
    <w:altName w:val="Arial"/>
    <w:panose1 w:val="020B0500000000000000"/>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4D55" w:rsidRDefault="008D4D55">
      <w:r>
        <w:rPr>
          <w:color w:val="000000"/>
        </w:rPr>
        <w:separator/>
      </w:r>
    </w:p>
  </w:footnote>
  <w:footnote w:type="continuationSeparator" w:id="0">
    <w:p w:rsidR="008D4D55" w:rsidRDefault="008D4D55">
      <w:r>
        <w:continuationSeparator/>
      </w:r>
    </w:p>
  </w:footnote>
  <w:footnote w:id="1">
    <w:p w:rsidR="008C2F8A" w:rsidRPr="00DF4C51" w:rsidRDefault="008C2F8A" w:rsidP="008C2F8A">
      <w:pPr>
        <w:pStyle w:val="Notedebasdepage"/>
      </w:pPr>
      <w:r w:rsidRPr="00DF4C51">
        <w:rPr>
          <w:rStyle w:val="Appelnotedebasdep"/>
        </w:rPr>
        <w:footnoteRef/>
      </w:r>
      <w:r w:rsidRPr="00DF4C51">
        <w:t xml:space="preserve"> C. trav. Bruxelles, 3 mars 2021, RG 2020/AB/641, consultable sur </w:t>
      </w:r>
      <w:hyperlink r:id="rId1" w:history="1">
        <w:r w:rsidRPr="00DF4C51">
          <w:rPr>
            <w:rStyle w:val="Lienhypertexte"/>
          </w:rPr>
          <w:t>www.terralaboris.be</w:t>
        </w:r>
      </w:hyperlink>
      <w:r w:rsidRPr="00DF4C5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80B" w:rsidRPr="000C480B" w:rsidRDefault="000C480B" w:rsidP="00891A96">
    <w:pPr>
      <w:pStyle w:val="En-tte"/>
      <w:jc w:val="center"/>
      <w:rPr>
        <w:rFonts w:cs="Times New Roman"/>
        <w:b/>
        <w:sz w:val="16"/>
        <w:szCs w:val="16"/>
        <w:lang w:val="nl-NL"/>
      </w:rPr>
    </w:pPr>
    <w:r w:rsidRPr="000C480B">
      <w:rPr>
        <w:rFonts w:cs="Times New Roman"/>
        <w:b/>
        <w:sz w:val="16"/>
        <w:szCs w:val="16"/>
        <w:lang w:val="nl-NL"/>
      </w:rPr>
      <w:t>Page n°</w:t>
    </w:r>
    <w:sdt>
      <w:sdtPr>
        <w:rPr>
          <w:rFonts w:cs="Times New Roman"/>
          <w:b/>
          <w:sz w:val="16"/>
          <w:szCs w:val="16"/>
        </w:rPr>
        <w:id w:val="1835185401"/>
        <w:docPartObj>
          <w:docPartGallery w:val="Page Numbers (Top of Page)"/>
          <w:docPartUnique/>
        </w:docPartObj>
      </w:sdtPr>
      <w:sdtEndPr/>
      <w:sdtContent>
        <w:r w:rsidRPr="000C480B">
          <w:rPr>
            <w:rFonts w:cs="Times New Roman"/>
            <w:b/>
            <w:sz w:val="16"/>
            <w:szCs w:val="16"/>
          </w:rPr>
          <w:fldChar w:fldCharType="begin"/>
        </w:r>
        <w:r w:rsidRPr="000C480B">
          <w:rPr>
            <w:rFonts w:cs="Times New Roman"/>
            <w:b/>
            <w:sz w:val="16"/>
            <w:szCs w:val="16"/>
            <w:lang w:val="nl-NL"/>
          </w:rPr>
          <w:instrText>PAGE   \* MERGEFORMAT</w:instrText>
        </w:r>
        <w:r w:rsidRPr="000C480B">
          <w:rPr>
            <w:rFonts w:cs="Times New Roman"/>
            <w:b/>
            <w:sz w:val="16"/>
            <w:szCs w:val="16"/>
          </w:rPr>
          <w:fldChar w:fldCharType="separate"/>
        </w:r>
        <w:r w:rsidR="00B76F9C">
          <w:rPr>
            <w:rFonts w:cs="Times New Roman"/>
            <w:b/>
            <w:noProof/>
            <w:sz w:val="16"/>
            <w:szCs w:val="16"/>
            <w:lang w:val="nl-NL"/>
          </w:rPr>
          <w:t>11</w:t>
        </w:r>
        <w:r w:rsidRPr="000C480B">
          <w:rPr>
            <w:rFonts w:cs="Times New Roman"/>
            <w:b/>
            <w:sz w:val="16"/>
            <w:szCs w:val="16"/>
          </w:rPr>
          <w:fldChar w:fldCharType="end"/>
        </w:r>
      </w:sdtContent>
    </w:sdt>
  </w:p>
  <w:p w:rsidR="000C480B" w:rsidRPr="00F11990" w:rsidRDefault="000C480B" w:rsidP="00891A96">
    <w:pPr>
      <w:pStyle w:val="En-tte"/>
      <w:ind w:firstLine="3119"/>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3"/>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2952E2A"/>
    <w:multiLevelType w:val="hybridMultilevel"/>
    <w:tmpl w:val="BB927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D62EF"/>
    <w:multiLevelType w:val="multilevel"/>
    <w:tmpl w:val="E7288E6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C0067F"/>
    <w:multiLevelType w:val="hybridMultilevel"/>
    <w:tmpl w:val="74DCB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670BC"/>
    <w:multiLevelType w:val="hybridMultilevel"/>
    <w:tmpl w:val="77D808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950364"/>
    <w:multiLevelType w:val="hybridMultilevel"/>
    <w:tmpl w:val="9DD2F4F8"/>
    <w:lvl w:ilvl="0" w:tplc="080C0017">
      <w:start w:val="1"/>
      <w:numFmt w:val="lowerLetter"/>
      <w:lvlText w:val="%1)"/>
      <w:lvlJc w:val="left"/>
      <w:pPr>
        <w:ind w:left="720" w:hanging="360"/>
      </w:pPr>
      <w:rPr>
        <w:rFonts w:hint="default"/>
        <w:u w:val="none"/>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63860FE"/>
    <w:multiLevelType w:val="singleLevel"/>
    <w:tmpl w:val="968058FC"/>
    <w:lvl w:ilvl="0">
      <w:numFmt w:val="bullet"/>
      <w:lvlText w:val="-"/>
      <w:lvlJc w:val="left"/>
      <w:pPr>
        <w:tabs>
          <w:tab w:val="num" w:pos="360"/>
        </w:tabs>
        <w:ind w:left="360" w:hanging="360"/>
      </w:pPr>
      <w:rPr>
        <w:rFonts w:hint="default"/>
      </w:rPr>
    </w:lvl>
  </w:abstractNum>
  <w:abstractNum w:abstractNumId="7" w15:restartNumberingAfterBreak="0">
    <w:nsid w:val="26A23CA8"/>
    <w:multiLevelType w:val="hybridMultilevel"/>
    <w:tmpl w:val="A6F46B8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B63E9B"/>
    <w:multiLevelType w:val="hybridMultilevel"/>
    <w:tmpl w:val="C4E41A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6B4380"/>
    <w:multiLevelType w:val="hybridMultilevel"/>
    <w:tmpl w:val="6E86661E"/>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3F705E42"/>
    <w:multiLevelType w:val="singleLevel"/>
    <w:tmpl w:val="992A4F28"/>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EA55FA9"/>
    <w:multiLevelType w:val="hybridMultilevel"/>
    <w:tmpl w:val="31781B7E"/>
    <w:lvl w:ilvl="0" w:tplc="69D2F678">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382E77"/>
    <w:multiLevelType w:val="multilevel"/>
    <w:tmpl w:val="79C84D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CF72A52"/>
    <w:multiLevelType w:val="multilevel"/>
    <w:tmpl w:val="5060E49A"/>
    <w:lvl w:ilvl="0">
      <w:start w:val="1"/>
      <w:numFmt w:val="upperRoman"/>
      <w:lvlText w:val="%1."/>
      <w:lvlJc w:val="left"/>
      <w:pPr>
        <w:ind w:left="2850" w:hanging="720"/>
      </w:pPr>
      <w:rPr>
        <w:rFonts w:hint="default"/>
      </w:rPr>
    </w:lvl>
    <w:lvl w:ilvl="1">
      <w:start w:val="1"/>
      <w:numFmt w:val="decimal"/>
      <w:isLgl/>
      <w:lvlText w:val="%1.%2."/>
      <w:lvlJc w:val="left"/>
      <w:pPr>
        <w:ind w:left="2490"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930" w:hanging="1800"/>
      </w:pPr>
      <w:rPr>
        <w:rFonts w:hint="default"/>
      </w:rPr>
    </w:lvl>
  </w:abstractNum>
  <w:abstractNum w:abstractNumId="14" w15:restartNumberingAfterBreak="0">
    <w:nsid w:val="68456D04"/>
    <w:multiLevelType w:val="hybridMultilevel"/>
    <w:tmpl w:val="74848444"/>
    <w:lvl w:ilvl="0" w:tplc="6882BD72">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9FB1498"/>
    <w:multiLevelType w:val="hybridMultilevel"/>
    <w:tmpl w:val="BB927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D85AB4"/>
    <w:multiLevelType w:val="hybridMultilevel"/>
    <w:tmpl w:val="91865878"/>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6"/>
  </w:num>
  <w:num w:numId="5">
    <w:abstractNumId w:val="9"/>
  </w:num>
  <w:num w:numId="6">
    <w:abstractNumId w:val="8"/>
  </w:num>
  <w:num w:numId="7">
    <w:abstractNumId w:val="5"/>
  </w:num>
  <w:num w:numId="8">
    <w:abstractNumId w:val="7"/>
  </w:num>
  <w:num w:numId="9">
    <w:abstractNumId w:val="3"/>
  </w:num>
  <w:num w:numId="10">
    <w:abstractNumId w:val="2"/>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13"/>
  </w:num>
  <w:num w:numId="16">
    <w:abstractNumId w:val="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revisionView w:inkAnnotation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BB"/>
    <w:rsid w:val="00000AC6"/>
    <w:rsid w:val="00003059"/>
    <w:rsid w:val="000178CD"/>
    <w:rsid w:val="000721EB"/>
    <w:rsid w:val="0007764E"/>
    <w:rsid w:val="000A7702"/>
    <w:rsid w:val="000B404A"/>
    <w:rsid w:val="000C2B66"/>
    <w:rsid w:val="000C480B"/>
    <w:rsid w:val="000E0EAB"/>
    <w:rsid w:val="000E601E"/>
    <w:rsid w:val="000E63CE"/>
    <w:rsid w:val="00124493"/>
    <w:rsid w:val="001334C7"/>
    <w:rsid w:val="001362F4"/>
    <w:rsid w:val="00147BFA"/>
    <w:rsid w:val="001727FE"/>
    <w:rsid w:val="001A4ED9"/>
    <w:rsid w:val="001F0AEB"/>
    <w:rsid w:val="00202175"/>
    <w:rsid w:val="00211A39"/>
    <w:rsid w:val="00214FAB"/>
    <w:rsid w:val="00223407"/>
    <w:rsid w:val="002258A6"/>
    <w:rsid w:val="00240F89"/>
    <w:rsid w:val="00266F03"/>
    <w:rsid w:val="00291930"/>
    <w:rsid w:val="002C5396"/>
    <w:rsid w:val="002C54B9"/>
    <w:rsid w:val="002D0F69"/>
    <w:rsid w:val="002E18DC"/>
    <w:rsid w:val="002F17FC"/>
    <w:rsid w:val="00331B9F"/>
    <w:rsid w:val="0037254D"/>
    <w:rsid w:val="0038496E"/>
    <w:rsid w:val="003A77EB"/>
    <w:rsid w:val="003B743F"/>
    <w:rsid w:val="003C55DD"/>
    <w:rsid w:val="003E5F4D"/>
    <w:rsid w:val="003F3966"/>
    <w:rsid w:val="004108D4"/>
    <w:rsid w:val="00417CF5"/>
    <w:rsid w:val="004229DC"/>
    <w:rsid w:val="00424585"/>
    <w:rsid w:val="00426BE1"/>
    <w:rsid w:val="00436627"/>
    <w:rsid w:val="00447CCF"/>
    <w:rsid w:val="00470B71"/>
    <w:rsid w:val="00497C0C"/>
    <w:rsid w:val="004A197C"/>
    <w:rsid w:val="004A2EB3"/>
    <w:rsid w:val="004B7FDB"/>
    <w:rsid w:val="004E0DC0"/>
    <w:rsid w:val="004E314D"/>
    <w:rsid w:val="00506CC6"/>
    <w:rsid w:val="00512050"/>
    <w:rsid w:val="00545120"/>
    <w:rsid w:val="005A2072"/>
    <w:rsid w:val="005A4B6C"/>
    <w:rsid w:val="005B0B8F"/>
    <w:rsid w:val="005C3277"/>
    <w:rsid w:val="006252E0"/>
    <w:rsid w:val="006A5D6F"/>
    <w:rsid w:val="006C4BDD"/>
    <w:rsid w:val="006D1FD0"/>
    <w:rsid w:val="006E7002"/>
    <w:rsid w:val="006F59CC"/>
    <w:rsid w:val="00712B25"/>
    <w:rsid w:val="00730A40"/>
    <w:rsid w:val="00756EBB"/>
    <w:rsid w:val="00767058"/>
    <w:rsid w:val="007713DC"/>
    <w:rsid w:val="007922C0"/>
    <w:rsid w:val="00796E31"/>
    <w:rsid w:val="007A02D1"/>
    <w:rsid w:val="007D4809"/>
    <w:rsid w:val="0081423B"/>
    <w:rsid w:val="00834670"/>
    <w:rsid w:val="00840A02"/>
    <w:rsid w:val="0084653D"/>
    <w:rsid w:val="0085250C"/>
    <w:rsid w:val="00873CE8"/>
    <w:rsid w:val="00874CFC"/>
    <w:rsid w:val="00877DD3"/>
    <w:rsid w:val="00891769"/>
    <w:rsid w:val="00891A96"/>
    <w:rsid w:val="008B189D"/>
    <w:rsid w:val="008C2F8A"/>
    <w:rsid w:val="008D4D55"/>
    <w:rsid w:val="008D6CF9"/>
    <w:rsid w:val="009028A9"/>
    <w:rsid w:val="00902C85"/>
    <w:rsid w:val="009030B2"/>
    <w:rsid w:val="00934EFF"/>
    <w:rsid w:val="00960171"/>
    <w:rsid w:val="0097792C"/>
    <w:rsid w:val="00981F43"/>
    <w:rsid w:val="009A6BC1"/>
    <w:rsid w:val="009B3214"/>
    <w:rsid w:val="009B44CB"/>
    <w:rsid w:val="009C2384"/>
    <w:rsid w:val="009C6FAE"/>
    <w:rsid w:val="009E1560"/>
    <w:rsid w:val="009F40DC"/>
    <w:rsid w:val="00A036BA"/>
    <w:rsid w:val="00A145F1"/>
    <w:rsid w:val="00A14CDA"/>
    <w:rsid w:val="00A6486A"/>
    <w:rsid w:val="00A6529F"/>
    <w:rsid w:val="00A65874"/>
    <w:rsid w:val="00A90467"/>
    <w:rsid w:val="00B17BFB"/>
    <w:rsid w:val="00B224E8"/>
    <w:rsid w:val="00B2689E"/>
    <w:rsid w:val="00B268DA"/>
    <w:rsid w:val="00B5416E"/>
    <w:rsid w:val="00B54313"/>
    <w:rsid w:val="00B76F9C"/>
    <w:rsid w:val="00BD60CE"/>
    <w:rsid w:val="00BE1FAD"/>
    <w:rsid w:val="00C25122"/>
    <w:rsid w:val="00C64BF2"/>
    <w:rsid w:val="00C6757E"/>
    <w:rsid w:val="00C74467"/>
    <w:rsid w:val="00CA09C6"/>
    <w:rsid w:val="00CA77CF"/>
    <w:rsid w:val="00CB2468"/>
    <w:rsid w:val="00CC0A9A"/>
    <w:rsid w:val="00CC361F"/>
    <w:rsid w:val="00CD1251"/>
    <w:rsid w:val="00CD6184"/>
    <w:rsid w:val="00D56BE8"/>
    <w:rsid w:val="00D901EA"/>
    <w:rsid w:val="00DB4D30"/>
    <w:rsid w:val="00DD02D8"/>
    <w:rsid w:val="00DD13AA"/>
    <w:rsid w:val="00DD29B2"/>
    <w:rsid w:val="00E1668E"/>
    <w:rsid w:val="00E171DD"/>
    <w:rsid w:val="00E52FF3"/>
    <w:rsid w:val="00E64BDB"/>
    <w:rsid w:val="00E879A8"/>
    <w:rsid w:val="00E9155A"/>
    <w:rsid w:val="00E970E4"/>
    <w:rsid w:val="00EB6E6B"/>
    <w:rsid w:val="00EE1F1D"/>
    <w:rsid w:val="00F00549"/>
    <w:rsid w:val="00F11990"/>
    <w:rsid w:val="00F16652"/>
    <w:rsid w:val="00F41F80"/>
    <w:rsid w:val="00F621E2"/>
    <w:rsid w:val="00F63794"/>
    <w:rsid w:val="00F65773"/>
    <w:rsid w:val="00F74102"/>
    <w:rsid w:val="00FB76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GB" w:eastAsia="fr-B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Titre1">
    <w:name w:val="heading 1"/>
    <w:basedOn w:val="Heading"/>
    <w:next w:val="Textbody"/>
    <w:link w:val="Titre1Car"/>
    <w:pPr>
      <w:outlineLvl w:val="0"/>
    </w:pPr>
    <w:rPr>
      <w:rFonts w:ascii="Times New Roman" w:eastAsia="Arial Unicode MS" w:hAnsi="Times New Roman"/>
      <w:b/>
      <w:bCs/>
      <w:sz w:val="48"/>
      <w:szCs w:val="48"/>
    </w:rPr>
  </w:style>
  <w:style w:type="paragraph" w:styleId="Titre2">
    <w:name w:val="heading 2"/>
    <w:basedOn w:val="Normal"/>
    <w:next w:val="Normal"/>
    <w:link w:val="Titre2Car"/>
    <w:uiPriority w:val="9"/>
    <w:unhideWhenUsed/>
    <w:qFormat/>
    <w:rsid w:val="00F621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Liste">
    <w:name w:val="List"/>
    <w:basedOn w:val="Textbody"/>
  </w:style>
  <w:style w:type="paragraph" w:styleId="En-tte">
    <w:name w:val="header"/>
    <w:basedOn w:val="Standard"/>
    <w:link w:val="En-tteCar"/>
    <w:uiPriority w:val="99"/>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brut">
    <w:name w:val="Plain Text"/>
    <w:basedOn w:val="Standard"/>
    <w:link w:val="TextebrutCar"/>
    <w:pPr>
      <w:widowControl/>
    </w:pPr>
    <w:rPr>
      <w:rFonts w:ascii="Courier New" w:eastAsia="Arial" w:hAnsi="Courier New" w:cs="Courier New"/>
      <w:sz w:val="20"/>
      <w:szCs w:val="20"/>
    </w:rPr>
  </w:style>
  <w:style w:type="paragraph" w:customStyle="1" w:styleId="PreformattedText">
    <w:name w:val="Preformatted Text"/>
    <w:basedOn w:val="Standard"/>
    <w:rPr>
      <w:rFonts w:ascii="Cumberland AMT" w:eastAsia="Cumberland AMT" w:hAnsi="Cumberland AMT" w:cs="Cumberland AMT"/>
      <w:sz w:val="20"/>
      <w:szCs w:val="20"/>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paragraph" w:styleId="Textedebulles">
    <w:name w:val="Balloon Text"/>
    <w:basedOn w:val="Normal"/>
    <w:link w:val="TextedebullesCar"/>
    <w:uiPriority w:val="99"/>
    <w:semiHidden/>
    <w:unhideWhenUsed/>
    <w:rsid w:val="00DB4D30"/>
    <w:rPr>
      <w:rFonts w:ascii="Tahoma" w:hAnsi="Tahoma"/>
      <w:sz w:val="16"/>
      <w:szCs w:val="16"/>
    </w:rPr>
  </w:style>
  <w:style w:type="character" w:customStyle="1" w:styleId="TextedebullesCar">
    <w:name w:val="Texte de bulles Car"/>
    <w:basedOn w:val="Policepardfaut"/>
    <w:link w:val="Textedebulles"/>
    <w:uiPriority w:val="99"/>
    <w:semiHidden/>
    <w:rsid w:val="00DB4D30"/>
    <w:rPr>
      <w:rFonts w:ascii="Tahoma" w:hAnsi="Tahoma"/>
      <w:sz w:val="16"/>
      <w:szCs w:val="16"/>
    </w:rPr>
  </w:style>
  <w:style w:type="paragraph" w:styleId="Pieddepage">
    <w:name w:val="footer"/>
    <w:basedOn w:val="Normal"/>
    <w:link w:val="PieddepageCar"/>
    <w:uiPriority w:val="99"/>
    <w:unhideWhenUsed/>
    <w:rsid w:val="00DB4D30"/>
    <w:pPr>
      <w:tabs>
        <w:tab w:val="center" w:pos="4513"/>
        <w:tab w:val="right" w:pos="9026"/>
      </w:tabs>
    </w:pPr>
  </w:style>
  <w:style w:type="character" w:customStyle="1" w:styleId="PieddepageCar">
    <w:name w:val="Pied de page Car"/>
    <w:basedOn w:val="Policepardfaut"/>
    <w:link w:val="Pieddepage"/>
    <w:uiPriority w:val="99"/>
    <w:rsid w:val="00DB4D30"/>
  </w:style>
  <w:style w:type="paragraph" w:customStyle="1" w:styleId="P17">
    <w:name w:val="P17"/>
    <w:basedOn w:val="Normal"/>
    <w:hidden/>
    <w:rsid w:val="00DB4D30"/>
    <w:pPr>
      <w:suppressAutoHyphens w:val="0"/>
      <w:autoSpaceDN/>
      <w:adjustRightInd w:val="0"/>
      <w:ind w:right="24"/>
      <w:jc w:val="center"/>
      <w:textAlignment w:val="auto"/>
    </w:pPr>
    <w:rPr>
      <w:rFonts w:eastAsia="Times New Roman" w:cs="MS Sans Serif"/>
      <w:kern w:val="0"/>
      <w:sz w:val="20"/>
      <w:szCs w:val="20"/>
      <w:lang w:val="en-US" w:eastAsia="en-US"/>
    </w:rPr>
  </w:style>
  <w:style w:type="character" w:customStyle="1" w:styleId="T8">
    <w:name w:val="T8"/>
    <w:hidden/>
    <w:rsid w:val="00DB4D30"/>
    <w:rPr>
      <w:b/>
      <w:position w:val="0"/>
      <w:sz w:val="24"/>
      <w:vertAlign w:val="superscript"/>
    </w:rPr>
  </w:style>
  <w:style w:type="character" w:customStyle="1" w:styleId="T16">
    <w:name w:val="T16"/>
    <w:hidden/>
    <w:rsid w:val="00DB4D30"/>
    <w:rPr>
      <w:b/>
      <w:sz w:val="24"/>
    </w:rPr>
  </w:style>
  <w:style w:type="character" w:customStyle="1" w:styleId="Titre2Car">
    <w:name w:val="Titre 2 Car"/>
    <w:basedOn w:val="Policepardfaut"/>
    <w:link w:val="Titre2"/>
    <w:uiPriority w:val="9"/>
    <w:rsid w:val="00F621E2"/>
    <w:rPr>
      <w:rFonts w:asciiTheme="majorHAnsi" w:eastAsiaTheme="majorEastAsia" w:hAnsiTheme="majorHAnsi" w:cstheme="majorBidi"/>
      <w:b/>
      <w:bCs/>
      <w:color w:val="4F81BD" w:themeColor="accent1"/>
      <w:sz w:val="26"/>
      <w:szCs w:val="26"/>
    </w:rPr>
  </w:style>
  <w:style w:type="character" w:styleId="Numrodepage">
    <w:name w:val="page number"/>
    <w:basedOn w:val="Policepardfaut"/>
    <w:rsid w:val="00F621E2"/>
  </w:style>
  <w:style w:type="character" w:customStyle="1" w:styleId="En-tteCar">
    <w:name w:val="En-tête Car"/>
    <w:basedOn w:val="Policepardfaut"/>
    <w:link w:val="En-tte"/>
    <w:uiPriority w:val="99"/>
    <w:rsid w:val="000A7702"/>
  </w:style>
  <w:style w:type="character" w:customStyle="1" w:styleId="TextebrutCar">
    <w:name w:val="Texte brut Car"/>
    <w:basedOn w:val="Policepardfaut"/>
    <w:link w:val="Textebrut"/>
    <w:rsid w:val="00F74102"/>
    <w:rPr>
      <w:rFonts w:ascii="Courier New" w:eastAsia="Arial" w:hAnsi="Courier New" w:cs="Courier New"/>
      <w:sz w:val="20"/>
      <w:szCs w:val="20"/>
    </w:rPr>
  </w:style>
  <w:style w:type="paragraph" w:styleId="Sous-titre">
    <w:name w:val="Subtitle"/>
    <w:basedOn w:val="Normal"/>
    <w:link w:val="Sous-titreCar"/>
    <w:qFormat/>
    <w:rsid w:val="00B17BFB"/>
    <w:pPr>
      <w:suppressAutoHyphens w:val="0"/>
      <w:autoSpaceDN/>
      <w:snapToGrid w:val="0"/>
      <w:textAlignment w:val="auto"/>
    </w:pPr>
    <w:rPr>
      <w:rFonts w:ascii="Bookman Old Style" w:eastAsia="Times New Roman" w:hAnsi="Bookman Old Style" w:cs="Times New Roman"/>
      <w:b/>
      <w:kern w:val="0"/>
      <w:sz w:val="22"/>
      <w:szCs w:val="20"/>
      <w:lang w:val="fr-FR" w:eastAsia="fr-FR"/>
    </w:rPr>
  </w:style>
  <w:style w:type="character" w:customStyle="1" w:styleId="Sous-titreCar">
    <w:name w:val="Sous-titre Car"/>
    <w:basedOn w:val="Policepardfaut"/>
    <w:link w:val="Sous-titre"/>
    <w:rsid w:val="00B17BFB"/>
    <w:rPr>
      <w:rFonts w:ascii="Bookman Old Style" w:eastAsia="Times New Roman" w:hAnsi="Bookman Old Style" w:cs="Times New Roman"/>
      <w:b/>
      <w:kern w:val="0"/>
      <w:sz w:val="22"/>
      <w:szCs w:val="20"/>
      <w:lang w:val="fr-FR" w:eastAsia="fr-FR"/>
    </w:rPr>
  </w:style>
  <w:style w:type="character" w:styleId="Lienhypertexte">
    <w:name w:val="Hyperlink"/>
    <w:basedOn w:val="Policepardfaut"/>
    <w:uiPriority w:val="99"/>
    <w:unhideWhenUsed/>
    <w:rsid w:val="004E314D"/>
    <w:rPr>
      <w:color w:val="0000FF" w:themeColor="hyperlink"/>
      <w:u w:val="single"/>
    </w:rPr>
  </w:style>
  <w:style w:type="paragraph" w:styleId="Paragraphedeliste">
    <w:name w:val="List Paragraph"/>
    <w:basedOn w:val="Normal"/>
    <w:uiPriority w:val="34"/>
    <w:qFormat/>
    <w:rsid w:val="003A77EB"/>
    <w:pPr>
      <w:ind w:left="720"/>
      <w:contextualSpacing/>
    </w:pPr>
  </w:style>
  <w:style w:type="paragraph" w:styleId="Notedebasdepage">
    <w:name w:val="footnote text"/>
    <w:aliases w:val="Note de bas de page Car1 Car,Note de bas de page Car Car Car,Note de bas de page Car1 Car Car Car,Note de bas de page Car Car Car Car Car,Note de bas de page Car1 Car Car Car Car Car"/>
    <w:basedOn w:val="Normal"/>
    <w:link w:val="NotedebasdepageCar"/>
    <w:uiPriority w:val="99"/>
    <w:unhideWhenUsed/>
    <w:rsid w:val="00934EFF"/>
    <w:rPr>
      <w:sz w:val="20"/>
      <w:szCs w:val="20"/>
    </w:rPr>
  </w:style>
  <w:style w:type="character" w:customStyle="1" w:styleId="NotedebasdepageCar">
    <w:name w:val="Note de bas de page Car"/>
    <w:aliases w:val="Note de bas de page Car1 Car Car,Note de bas de page Car Car Car Car,Note de bas de page Car1 Car Car Car Car,Note de bas de page Car Car Car Car Car Car,Note de bas de page Car1 Car Car Car Car Car Car"/>
    <w:basedOn w:val="Policepardfaut"/>
    <w:link w:val="Notedebasdepage"/>
    <w:uiPriority w:val="99"/>
    <w:rsid w:val="00934EFF"/>
    <w:rPr>
      <w:sz w:val="20"/>
      <w:szCs w:val="20"/>
      <w:lang w:val="fr-BE"/>
    </w:rPr>
  </w:style>
  <w:style w:type="character" w:styleId="Appelnotedebasdep">
    <w:name w:val="footnote reference"/>
    <w:rsid w:val="00934EFF"/>
    <w:rPr>
      <w:vertAlign w:val="superscript"/>
    </w:rPr>
  </w:style>
  <w:style w:type="paragraph" w:customStyle="1" w:styleId="Correctionautomatique">
    <w:name w:val="Correction automatique"/>
    <w:rsid w:val="00147BFA"/>
    <w:pPr>
      <w:widowControl/>
      <w:suppressAutoHyphens w:val="0"/>
      <w:autoSpaceDN/>
      <w:spacing w:after="160" w:line="259" w:lineRule="auto"/>
      <w:textAlignment w:val="auto"/>
    </w:pPr>
    <w:rPr>
      <w:rFonts w:asciiTheme="minorHAnsi" w:eastAsiaTheme="minorEastAsia" w:hAnsiTheme="minorHAnsi" w:cstheme="minorBidi"/>
      <w:kern w:val="0"/>
      <w:sz w:val="22"/>
      <w:szCs w:val="22"/>
      <w:lang w:val="fr-BE"/>
    </w:rPr>
  </w:style>
  <w:style w:type="paragraph" w:styleId="Corpsdetexte3">
    <w:name w:val="Body Text 3"/>
    <w:basedOn w:val="Normal"/>
    <w:link w:val="Corpsdetexte3Car"/>
    <w:uiPriority w:val="99"/>
    <w:unhideWhenUsed/>
    <w:rsid w:val="002D0F69"/>
    <w:pPr>
      <w:suppressAutoHyphens w:val="0"/>
      <w:autoSpaceDN/>
      <w:spacing w:after="120"/>
      <w:textAlignment w:val="auto"/>
    </w:pPr>
    <w:rPr>
      <w:rFonts w:ascii="Courier" w:eastAsia="Times New Roman" w:hAnsi="Courier" w:cs="Times New Roman"/>
      <w:snapToGrid w:val="0"/>
      <w:kern w:val="0"/>
      <w:sz w:val="16"/>
      <w:szCs w:val="16"/>
      <w:lang w:val="fr-FR" w:eastAsia="fr-FR"/>
    </w:rPr>
  </w:style>
  <w:style w:type="character" w:customStyle="1" w:styleId="Corpsdetexte3Car">
    <w:name w:val="Corps de texte 3 Car"/>
    <w:basedOn w:val="Policepardfaut"/>
    <w:link w:val="Corpsdetexte3"/>
    <w:uiPriority w:val="99"/>
    <w:rsid w:val="002D0F69"/>
    <w:rPr>
      <w:rFonts w:ascii="Courier" w:eastAsia="Times New Roman" w:hAnsi="Courier" w:cs="Times New Roman"/>
      <w:snapToGrid w:val="0"/>
      <w:kern w:val="0"/>
      <w:sz w:val="16"/>
      <w:szCs w:val="16"/>
      <w:lang w:val="fr-FR" w:eastAsia="fr-FR"/>
    </w:rPr>
  </w:style>
  <w:style w:type="paragraph" w:customStyle="1" w:styleId="Arreststandaard">
    <w:name w:val="Arrest standaard"/>
    <w:basedOn w:val="Normal"/>
    <w:uiPriority w:val="99"/>
    <w:rsid w:val="004B7FDB"/>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paragraph" w:styleId="Normalcentr">
    <w:name w:val="Block Text"/>
    <w:basedOn w:val="Normal"/>
    <w:rsid w:val="00E64BDB"/>
    <w:pPr>
      <w:widowControl/>
      <w:suppressAutoHyphens w:val="0"/>
      <w:autoSpaceDN/>
      <w:ind w:left="180" w:right="-108"/>
      <w:textAlignment w:val="auto"/>
    </w:pPr>
    <w:rPr>
      <w:rFonts w:eastAsia="Times New Roman" w:cs="Times New Roman"/>
      <w:kern w:val="0"/>
      <w:szCs w:val="20"/>
      <w:lang w:val="fr-FR" w:eastAsia="fr-FR"/>
    </w:rPr>
  </w:style>
  <w:style w:type="character" w:customStyle="1" w:styleId="Titre1Car">
    <w:name w:val="Titre 1 Car"/>
    <w:basedOn w:val="Policepardfaut"/>
    <w:link w:val="Titre1"/>
    <w:rsid w:val="00A036BA"/>
    <w:rPr>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385470">
      <w:bodyDiv w:val="1"/>
      <w:marLeft w:val="0"/>
      <w:marRight w:val="0"/>
      <w:marTop w:val="0"/>
      <w:marBottom w:val="0"/>
      <w:divBdr>
        <w:top w:val="none" w:sz="0" w:space="0" w:color="auto"/>
        <w:left w:val="none" w:sz="0" w:space="0" w:color="auto"/>
        <w:bottom w:val="none" w:sz="0" w:space="0" w:color="auto"/>
        <w:right w:val="none" w:sz="0" w:space="0" w:color="auto"/>
      </w:divBdr>
    </w:div>
    <w:div w:id="1361780486">
      <w:bodyDiv w:val="1"/>
      <w:marLeft w:val="0"/>
      <w:marRight w:val="0"/>
      <w:marTop w:val="0"/>
      <w:marBottom w:val="0"/>
      <w:divBdr>
        <w:top w:val="none" w:sz="0" w:space="0" w:color="auto"/>
        <w:left w:val="none" w:sz="0" w:space="0" w:color="auto"/>
        <w:bottom w:val="none" w:sz="0" w:space="0" w:color="auto"/>
        <w:right w:val="none" w:sz="0" w:space="0" w:color="auto"/>
      </w:divBdr>
    </w:div>
    <w:div w:id="1821068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juportal.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terralabor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B54C-C8DD-42BF-B19C-16F4AFD9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4134</Words>
  <Characters>22739</Characters>
  <Application>Microsoft Office Word</Application>
  <DocSecurity>4</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2022-09-01T07:55:00Z</dcterms:created>
  <dcterms:modified xsi:type="dcterms:W3CDTF">2022-09-01T07:55:00Z</dcterms:modified>
</cp:coreProperties>
</file>