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D7909" w:rsidRPr="00FD7909" w:rsidRDefault="00FD7909" w:rsidP="00FD7909">
      <w:pPr>
        <w:pStyle w:val="Textbody"/>
        <w:rPr>
          <w:lang w:val="fr-BE"/>
        </w:rPr>
      </w:pPr>
    </w:p>
    <w:p w:rsidR="00B17BFB" w:rsidRDefault="00436627" w:rsidP="004108D4">
      <w:pPr>
        <w:pStyle w:val="Titre1"/>
        <w:ind w:right="-776"/>
        <w:jc w:val="center"/>
        <w:rPr>
          <w:rFonts w:ascii="Arial" w:hAnsi="Arial" w:cs="Arial"/>
          <w:spacing w:val="20"/>
          <w:sz w:val="32"/>
          <w:szCs w:val="32"/>
          <w:lang w:val="fr-BE"/>
        </w:rPr>
      </w:pPr>
      <w:r>
        <w:rPr>
          <w:rFonts w:ascii="Arial" w:hAnsi="Arial" w:cs="Arial"/>
          <w:noProof/>
          <w:sz w:val="28"/>
          <w:szCs w:val="28"/>
          <w:lang w:eastAsia="en-GB"/>
        </w:rPr>
        <w:drawing>
          <wp:anchor distT="0" distB="0" distL="114300" distR="114300" simplePos="0" relativeHeight="251659264" behindDoc="0" locked="0" layoutInCell="1" allowOverlap="0" wp14:anchorId="0679DA52" wp14:editId="0BB928C0">
            <wp:simplePos x="0" y="0"/>
            <wp:positionH relativeFrom="column">
              <wp:posOffset>-711200</wp:posOffset>
            </wp:positionH>
            <wp:positionV relativeFrom="paragraph">
              <wp:posOffset>0</wp:posOffset>
            </wp:positionV>
            <wp:extent cx="990600" cy="990600"/>
            <wp:effectExtent l="0" t="0" r="0" b="0"/>
            <wp:wrapSquare wrapText="bothSides"/>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8" cstate="print">
                      <a:extLst>
                        <a:ext uri="{28A0092B-C50C-407E-A947-70E740481C1C}">
                          <a14:useLocalDpi xmlns:a14="http://schemas.microsoft.com/office/drawing/2010/main" val="0"/>
                        </a:ext>
                      </a:extLst>
                    </a:blip>
                    <a:srcRect l="-10358" t="-1904" r="-10358" b="-1904"/>
                    <a:stretch>
                      <a:fillRect/>
                    </a:stretch>
                  </pic:blipFill>
                  <pic:spPr bwMode="auto">
                    <a:xfrm>
                      <a:off x="0" y="0"/>
                      <a:ext cx="990600" cy="9906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17BFB" w:rsidRDefault="00B17BFB" w:rsidP="004108D4">
      <w:pPr>
        <w:pStyle w:val="Titre1"/>
        <w:ind w:right="-776"/>
        <w:jc w:val="center"/>
        <w:rPr>
          <w:rFonts w:ascii="Arial" w:hAnsi="Arial" w:cs="Arial"/>
          <w:spacing w:val="20"/>
          <w:sz w:val="32"/>
          <w:szCs w:val="32"/>
          <w:lang w:val="fr-BE"/>
        </w:rPr>
      </w:pPr>
    </w:p>
    <w:p w:rsidR="00B17BFB" w:rsidRPr="000C480B" w:rsidRDefault="00B17BFB" w:rsidP="00B17BFB">
      <w:pPr>
        <w:pStyle w:val="Sous-titre"/>
        <w:ind w:left="2160"/>
        <w:rPr>
          <w:rFonts w:ascii="Times New Roman" w:hAnsi="Times New Roman"/>
          <w:sz w:val="28"/>
          <w:szCs w:val="28"/>
        </w:rPr>
      </w:pPr>
      <w:r w:rsidRPr="000C480B">
        <w:rPr>
          <w:rFonts w:ascii="Times New Roman" w:hAnsi="Times New Roman"/>
          <w:sz w:val="28"/>
          <w:szCs w:val="28"/>
        </w:rPr>
        <w:t>TRIBUNAL DU TRAVAIL DE LIEGE</w:t>
      </w:r>
    </w:p>
    <w:p w:rsidR="00B17BFB" w:rsidRPr="000C480B" w:rsidRDefault="00B17BFB" w:rsidP="00B17BFB">
      <w:pPr>
        <w:pStyle w:val="Sous-titre"/>
        <w:jc w:val="center"/>
        <w:rPr>
          <w:rFonts w:ascii="Times New Roman" w:hAnsi="Times New Roman"/>
          <w:sz w:val="28"/>
          <w:szCs w:val="28"/>
        </w:rPr>
      </w:pPr>
      <w:r w:rsidRPr="000C480B">
        <w:rPr>
          <w:rFonts w:ascii="Times New Roman" w:hAnsi="Times New Roman"/>
          <w:sz w:val="28"/>
          <w:szCs w:val="28"/>
        </w:rPr>
        <w:t xml:space="preserve">     DIVISION DE VERVIERS</w:t>
      </w:r>
    </w:p>
    <w:p w:rsidR="00B17BFB" w:rsidRPr="000C480B" w:rsidRDefault="00B17BFB" w:rsidP="00B17BFB">
      <w:pPr>
        <w:pStyle w:val="Sous-titre"/>
        <w:jc w:val="center"/>
        <w:rPr>
          <w:rFonts w:ascii="Times New Roman" w:hAnsi="Times New Roman"/>
          <w:sz w:val="28"/>
          <w:szCs w:val="28"/>
        </w:rPr>
      </w:pPr>
    </w:p>
    <w:p w:rsidR="00B17BFB" w:rsidRPr="000C480B" w:rsidRDefault="00B17BFB" w:rsidP="00B17BFB">
      <w:pPr>
        <w:pStyle w:val="Sous-titre"/>
        <w:jc w:val="center"/>
        <w:rPr>
          <w:rFonts w:ascii="Times New Roman" w:hAnsi="Times New Roman"/>
          <w:sz w:val="28"/>
          <w:szCs w:val="28"/>
        </w:rPr>
      </w:pPr>
      <w:r w:rsidRPr="000C480B">
        <w:rPr>
          <w:rFonts w:ascii="Times New Roman" w:hAnsi="Times New Roman"/>
          <w:sz w:val="28"/>
          <w:szCs w:val="28"/>
        </w:rPr>
        <w:t xml:space="preserve">     AUDIENCE PUBLIQUE </w:t>
      </w:r>
      <w:r w:rsidRPr="00727D89">
        <w:rPr>
          <w:rFonts w:ascii="Times New Roman" w:hAnsi="Times New Roman"/>
          <w:sz w:val="28"/>
          <w:szCs w:val="28"/>
        </w:rPr>
        <w:t xml:space="preserve">DU </w:t>
      </w:r>
      <w:r w:rsidR="00854546">
        <w:rPr>
          <w:rFonts w:ascii="Times New Roman" w:hAnsi="Times New Roman"/>
          <w:sz w:val="28"/>
          <w:szCs w:val="28"/>
        </w:rPr>
        <w:t>2</w:t>
      </w:r>
      <w:r w:rsidR="00646DF9">
        <w:rPr>
          <w:rFonts w:ascii="Times New Roman" w:hAnsi="Times New Roman"/>
          <w:sz w:val="28"/>
          <w:szCs w:val="28"/>
        </w:rPr>
        <w:t>3</w:t>
      </w:r>
      <w:r w:rsidR="00CB0FB8">
        <w:rPr>
          <w:rFonts w:ascii="Times New Roman" w:hAnsi="Times New Roman"/>
          <w:sz w:val="28"/>
          <w:szCs w:val="28"/>
        </w:rPr>
        <w:t xml:space="preserve"> JUIN</w:t>
      </w:r>
      <w:r w:rsidR="00EE15A7">
        <w:rPr>
          <w:rFonts w:ascii="Times New Roman" w:hAnsi="Times New Roman"/>
          <w:sz w:val="28"/>
          <w:szCs w:val="28"/>
        </w:rPr>
        <w:t xml:space="preserve"> 2022</w:t>
      </w:r>
      <w:r w:rsidRPr="00727D89">
        <w:rPr>
          <w:rFonts w:ascii="Times New Roman" w:hAnsi="Times New Roman"/>
          <w:sz w:val="28"/>
          <w:szCs w:val="28"/>
        </w:rPr>
        <w:t>.</w:t>
      </w:r>
    </w:p>
    <w:p w:rsidR="00B17BFB" w:rsidRPr="000C480B" w:rsidRDefault="000C480B" w:rsidP="00B17BFB">
      <w:pPr>
        <w:pStyle w:val="Sous-titre"/>
        <w:jc w:val="center"/>
        <w:rPr>
          <w:rFonts w:ascii="Times New Roman" w:hAnsi="Times New Roman"/>
          <w:sz w:val="28"/>
          <w:szCs w:val="28"/>
        </w:rPr>
      </w:pPr>
      <w:r>
        <w:rPr>
          <w:rFonts w:ascii="Times New Roman" w:hAnsi="Times New Roman"/>
          <w:sz w:val="28"/>
          <w:szCs w:val="28"/>
        </w:rPr>
        <w:t>(2</w:t>
      </w:r>
      <w:r w:rsidRPr="000C480B">
        <w:rPr>
          <w:rFonts w:ascii="Times New Roman" w:hAnsi="Times New Roman"/>
          <w:sz w:val="28"/>
          <w:szCs w:val="28"/>
          <w:vertAlign w:val="superscript"/>
        </w:rPr>
        <w:t>ème</w:t>
      </w:r>
      <w:r>
        <w:rPr>
          <w:rFonts w:ascii="Times New Roman" w:hAnsi="Times New Roman"/>
          <w:sz w:val="28"/>
          <w:szCs w:val="28"/>
        </w:rPr>
        <w:t xml:space="preserve"> </w:t>
      </w:r>
      <w:r w:rsidR="00B17BFB" w:rsidRPr="000C480B">
        <w:rPr>
          <w:rFonts w:ascii="Times New Roman" w:hAnsi="Times New Roman"/>
          <w:sz w:val="28"/>
          <w:szCs w:val="28"/>
        </w:rPr>
        <w:t>chambre)</w:t>
      </w:r>
    </w:p>
    <w:p w:rsidR="00B17BFB" w:rsidRPr="000C480B" w:rsidRDefault="00B17BFB" w:rsidP="00B17BFB">
      <w:pPr>
        <w:rPr>
          <w:rFonts w:cs="Times New Roman"/>
        </w:rPr>
      </w:pPr>
    </w:p>
    <w:p w:rsidR="00B14E18" w:rsidRDefault="00B14E18" w:rsidP="00065CEF">
      <w:pPr>
        <w:pStyle w:val="Textebrut"/>
        <w:rPr>
          <w:rFonts w:ascii="Times New Roman" w:hAnsi="Times New Roman" w:cs="Times New Roman"/>
          <w:b/>
          <w:sz w:val="24"/>
          <w:szCs w:val="24"/>
          <w:lang w:val="fr-FR"/>
        </w:rPr>
      </w:pPr>
    </w:p>
    <w:p w:rsidR="00B17BFB" w:rsidRPr="00207286" w:rsidRDefault="00065CEF" w:rsidP="00065CEF">
      <w:pPr>
        <w:pStyle w:val="Textebrut"/>
        <w:ind w:left="709" w:firstLine="709"/>
        <w:rPr>
          <w:rFonts w:ascii="Times New Roman" w:hAnsi="Times New Roman" w:cs="Times New Roman"/>
          <w:b/>
          <w:sz w:val="24"/>
          <w:szCs w:val="24"/>
          <w:lang w:val="fr-FR"/>
        </w:rPr>
      </w:pPr>
      <w:r>
        <w:rPr>
          <w:rFonts w:ascii="Times New Roman" w:hAnsi="Times New Roman" w:cs="Times New Roman"/>
          <w:b/>
          <w:sz w:val="24"/>
          <w:szCs w:val="24"/>
          <w:lang w:val="fr-FR"/>
        </w:rPr>
        <w:t xml:space="preserve">RG : </w:t>
      </w:r>
      <w:r w:rsidR="00646DF9">
        <w:rPr>
          <w:rFonts w:ascii="Times New Roman" w:hAnsi="Times New Roman" w:cs="Times New Roman"/>
          <w:b/>
          <w:sz w:val="24"/>
          <w:szCs w:val="24"/>
          <w:lang w:val="fr-FR"/>
        </w:rPr>
        <w:t>20</w:t>
      </w:r>
      <w:r w:rsidR="00B14E18">
        <w:rPr>
          <w:rFonts w:ascii="Times New Roman" w:hAnsi="Times New Roman" w:cs="Times New Roman"/>
          <w:b/>
          <w:sz w:val="24"/>
          <w:szCs w:val="24"/>
          <w:lang w:val="fr-FR"/>
        </w:rPr>
        <w:t>/</w:t>
      </w:r>
      <w:r w:rsidR="00646DF9">
        <w:rPr>
          <w:rFonts w:ascii="Times New Roman" w:hAnsi="Times New Roman" w:cs="Times New Roman"/>
          <w:b/>
          <w:sz w:val="24"/>
          <w:szCs w:val="24"/>
          <w:lang w:val="fr-FR"/>
        </w:rPr>
        <w:t>131</w:t>
      </w:r>
      <w:r w:rsidR="00B17BFB" w:rsidRPr="00207286">
        <w:rPr>
          <w:rFonts w:ascii="Times New Roman" w:hAnsi="Times New Roman" w:cs="Times New Roman"/>
          <w:b/>
          <w:sz w:val="24"/>
          <w:szCs w:val="24"/>
          <w:lang w:val="fr-FR"/>
        </w:rPr>
        <w:t>/A</w:t>
      </w:r>
      <w:r w:rsidR="00B17BFB" w:rsidRPr="00207286">
        <w:rPr>
          <w:rFonts w:ascii="Times New Roman" w:hAnsi="Times New Roman" w:cs="Times New Roman"/>
          <w:b/>
          <w:sz w:val="24"/>
          <w:szCs w:val="24"/>
          <w:lang w:val="fr-FR"/>
        </w:rPr>
        <w:tab/>
      </w:r>
      <w:r w:rsidR="00B17BFB" w:rsidRPr="00207286">
        <w:rPr>
          <w:rFonts w:ascii="Times New Roman" w:hAnsi="Times New Roman" w:cs="Times New Roman"/>
          <w:b/>
          <w:sz w:val="24"/>
          <w:szCs w:val="24"/>
          <w:lang w:val="fr-FR"/>
        </w:rPr>
        <w:tab/>
      </w:r>
      <w:r w:rsidR="00B17BFB" w:rsidRPr="00207286">
        <w:rPr>
          <w:rFonts w:ascii="Times New Roman" w:hAnsi="Times New Roman" w:cs="Times New Roman"/>
          <w:b/>
          <w:sz w:val="24"/>
          <w:szCs w:val="24"/>
          <w:lang w:val="fr-FR"/>
        </w:rPr>
        <w:tab/>
      </w:r>
      <w:r w:rsidR="00B17BFB" w:rsidRPr="00207286">
        <w:rPr>
          <w:rFonts w:ascii="Times New Roman" w:hAnsi="Times New Roman" w:cs="Times New Roman"/>
          <w:b/>
          <w:sz w:val="24"/>
          <w:szCs w:val="24"/>
          <w:lang w:val="fr-FR"/>
        </w:rPr>
        <w:tab/>
      </w:r>
      <w:r w:rsidR="00B17BFB" w:rsidRPr="00207286">
        <w:rPr>
          <w:rFonts w:ascii="Times New Roman" w:hAnsi="Times New Roman" w:cs="Times New Roman"/>
          <w:b/>
          <w:sz w:val="24"/>
          <w:szCs w:val="24"/>
          <w:lang w:val="fr-FR"/>
        </w:rPr>
        <w:tab/>
      </w:r>
      <w:r w:rsidR="006B3F04">
        <w:rPr>
          <w:rFonts w:ascii="Times New Roman" w:hAnsi="Times New Roman" w:cs="Times New Roman"/>
          <w:b/>
          <w:color w:val="FF0000"/>
          <w:sz w:val="24"/>
          <w:szCs w:val="24"/>
          <w:lang w:val="fr-FR"/>
        </w:rPr>
        <w:t>Rép: 2</w:t>
      </w:r>
      <w:r w:rsidR="00DC712F">
        <w:rPr>
          <w:rFonts w:ascii="Times New Roman" w:hAnsi="Times New Roman" w:cs="Times New Roman"/>
          <w:b/>
          <w:color w:val="FF0000"/>
          <w:sz w:val="24"/>
          <w:szCs w:val="24"/>
          <w:lang w:val="fr-FR"/>
        </w:rPr>
        <w:t>2</w:t>
      </w:r>
      <w:r w:rsidR="00B17BFB" w:rsidRPr="00207286">
        <w:rPr>
          <w:rFonts w:ascii="Times New Roman" w:hAnsi="Times New Roman" w:cs="Times New Roman"/>
          <w:b/>
          <w:color w:val="FF0000"/>
          <w:sz w:val="24"/>
          <w:szCs w:val="24"/>
          <w:lang w:val="fr-FR"/>
        </w:rPr>
        <w:t>/</w:t>
      </w:r>
    </w:p>
    <w:p w:rsidR="00B17BFB" w:rsidRPr="00207286" w:rsidRDefault="00B17BFB" w:rsidP="00B17BFB">
      <w:pPr>
        <w:pStyle w:val="Textebrut"/>
        <w:jc w:val="center"/>
        <w:rPr>
          <w:rFonts w:ascii="Times New Roman" w:hAnsi="Times New Roman" w:cs="Times New Roman"/>
          <w:b/>
          <w:sz w:val="24"/>
          <w:szCs w:val="24"/>
          <w:lang w:val="fr-FR"/>
        </w:rPr>
      </w:pPr>
    </w:p>
    <w:p w:rsidR="00B17BFB" w:rsidRPr="00207286" w:rsidRDefault="00B17BFB" w:rsidP="00B17BFB">
      <w:pPr>
        <w:pStyle w:val="Textebrut"/>
        <w:jc w:val="center"/>
        <w:rPr>
          <w:rFonts w:ascii="Times New Roman" w:hAnsi="Times New Roman" w:cs="Times New Roman"/>
          <w:b/>
          <w:sz w:val="24"/>
          <w:szCs w:val="24"/>
          <w:lang w:val="fr-FR"/>
        </w:rPr>
      </w:pPr>
    </w:p>
    <w:p w:rsidR="00E60675" w:rsidRPr="00E60675" w:rsidRDefault="00E60675" w:rsidP="00A2342B">
      <w:pPr>
        <w:pStyle w:val="Standard"/>
        <w:ind w:left="1418"/>
        <w:jc w:val="center"/>
        <w:rPr>
          <w:rFonts w:cs="Times New Roman"/>
          <w:b/>
          <w:bCs/>
          <w:lang w:val="fr-BE"/>
        </w:rPr>
      </w:pPr>
      <w:r w:rsidRPr="00E60675">
        <w:rPr>
          <w:rFonts w:cs="Times New Roman"/>
          <w:b/>
          <w:bCs/>
          <w:lang w:val="fr-BE"/>
        </w:rPr>
        <w:t xml:space="preserve">Vidant son délibéré, le Tribunal a prononcé </w:t>
      </w:r>
      <w:r w:rsidR="00A2342B">
        <w:rPr>
          <w:rFonts w:cs="Times New Roman"/>
          <w:b/>
          <w:bCs/>
          <w:lang w:val="fr-BE"/>
        </w:rPr>
        <w:t xml:space="preserve">anticipativement </w:t>
      </w:r>
      <w:r w:rsidRPr="00E60675">
        <w:rPr>
          <w:rFonts w:cs="Times New Roman"/>
          <w:b/>
          <w:bCs/>
          <w:lang w:val="fr-BE"/>
        </w:rPr>
        <w:t>le jugement suivant :</w:t>
      </w:r>
    </w:p>
    <w:p w:rsidR="00B17BFB" w:rsidRPr="006755A6" w:rsidRDefault="00B17BFB" w:rsidP="00B17BFB">
      <w:pPr>
        <w:pStyle w:val="Textebrut"/>
        <w:rPr>
          <w:rFonts w:ascii="Times New Roman" w:hAnsi="Times New Roman" w:cs="Times New Roman"/>
          <w:u w:val="single"/>
          <w:lang w:val="fr-FR"/>
        </w:rPr>
      </w:pPr>
    </w:p>
    <w:p w:rsidR="009A6BC1" w:rsidRPr="001E1609" w:rsidRDefault="00B17BFB" w:rsidP="001E1609">
      <w:pPr>
        <w:snapToGrid w:val="0"/>
        <w:jc w:val="center"/>
        <w:rPr>
          <w:rFonts w:cs="Times New Roman"/>
          <w:lang w:val="fr-FR"/>
        </w:rPr>
      </w:pPr>
      <w:r w:rsidRPr="006755A6">
        <w:rPr>
          <w:rFonts w:cs="Times New Roman"/>
          <w:b/>
          <w:lang w:val="fr-FR"/>
        </w:rPr>
        <w:t xml:space="preserve">           En cause de</w:t>
      </w:r>
      <w:r w:rsidRPr="006755A6">
        <w:rPr>
          <w:rFonts w:cs="Times New Roman"/>
          <w:lang w:val="fr-FR"/>
        </w:rPr>
        <w:t xml:space="preserve"> :</w:t>
      </w:r>
    </w:p>
    <w:p w:rsidR="009A6BC1" w:rsidRPr="006755A6" w:rsidRDefault="009A6BC1" w:rsidP="009A6BC1">
      <w:pPr>
        <w:pStyle w:val="Standard"/>
        <w:jc w:val="both"/>
        <w:rPr>
          <w:rFonts w:cs="Times New Roman"/>
          <w:b/>
          <w:bCs/>
          <w:lang w:val="fr-BE"/>
        </w:rPr>
      </w:pPr>
    </w:p>
    <w:p w:rsidR="00E60675" w:rsidRDefault="00014E4B" w:rsidP="00B02902">
      <w:pPr>
        <w:pStyle w:val="Standard"/>
        <w:ind w:left="1418"/>
        <w:rPr>
          <w:rFonts w:cs="Times New Roman"/>
          <w:b/>
          <w:bCs/>
          <w:lang w:val="fr-BE"/>
        </w:rPr>
      </w:pPr>
      <w:bookmarkStart w:id="0" w:name="demandeur"/>
      <w:r>
        <w:rPr>
          <w:rFonts w:cs="Times New Roman"/>
          <w:b/>
          <w:bCs/>
          <w:lang w:val="fr-BE"/>
        </w:rPr>
        <w:t xml:space="preserve">T. </w:t>
      </w:r>
    </w:p>
    <w:p w:rsidR="00CB40F8" w:rsidRPr="003B0F9C" w:rsidRDefault="00CB40F8" w:rsidP="00742971">
      <w:pPr>
        <w:pStyle w:val="Standard"/>
        <w:ind w:left="1418"/>
        <w:rPr>
          <w:rFonts w:cs="Times New Roman"/>
          <w:bCs/>
          <w:lang w:val="fr-BE"/>
        </w:rPr>
      </w:pPr>
      <w:r w:rsidRPr="002A7581">
        <w:rPr>
          <w:rFonts w:cs="Times New Roman"/>
          <w:bCs/>
          <w:lang w:val="fr-BE"/>
        </w:rPr>
        <w:t xml:space="preserve">Inscrit au </w:t>
      </w:r>
      <w:r w:rsidR="00646DF9">
        <w:rPr>
          <w:rFonts w:cs="Times New Roman"/>
          <w:bCs/>
          <w:lang w:val="fr-BE"/>
        </w:rPr>
        <w:t>Registre National sous le numéro</w:t>
      </w:r>
      <w:r w:rsidR="001244CC">
        <w:rPr>
          <w:rFonts w:cs="Times New Roman"/>
          <w:bCs/>
          <w:lang w:val="fr-BE"/>
        </w:rPr>
        <w:t xml:space="preserve"> </w:t>
      </w:r>
      <w:r w:rsidR="003671F4" w:rsidRPr="002A7581">
        <w:rPr>
          <w:rFonts w:cs="Times New Roman"/>
          <w:bCs/>
          <w:lang w:val="fr-BE"/>
        </w:rPr>
        <w:t>,</w:t>
      </w:r>
    </w:p>
    <w:p w:rsidR="00CB40F8" w:rsidRPr="003B0F9C" w:rsidRDefault="00CB40F8" w:rsidP="00742971">
      <w:pPr>
        <w:pStyle w:val="Standard"/>
        <w:ind w:left="1418"/>
        <w:rPr>
          <w:rFonts w:cs="Times New Roman"/>
          <w:bCs/>
          <w:lang w:val="fr-BE"/>
        </w:rPr>
      </w:pPr>
      <w:r w:rsidRPr="003B0F9C">
        <w:rPr>
          <w:rFonts w:cs="Times New Roman"/>
          <w:bCs/>
          <w:lang w:val="fr-BE"/>
        </w:rPr>
        <w:t>Domicilié à</w:t>
      </w:r>
      <w:r w:rsidR="001244CC">
        <w:rPr>
          <w:rFonts w:cs="Times New Roman"/>
          <w:bCs/>
          <w:lang w:val="fr-BE"/>
        </w:rPr>
        <w:t xml:space="preserve"> 4.</w:t>
      </w:r>
    </w:p>
    <w:p w:rsidR="00646DF9" w:rsidRDefault="00F0587D">
      <w:pPr>
        <w:pStyle w:val="Standard"/>
        <w:ind w:left="35" w:right="-10"/>
        <w:rPr>
          <w:lang w:val="fr-BE"/>
        </w:rPr>
      </w:pPr>
      <w:r>
        <w:rPr>
          <w:rFonts w:cs="Times New Roman"/>
          <w:bCs/>
          <w:lang w:val="fr-BE"/>
        </w:rPr>
        <w:tab/>
      </w:r>
      <w:r>
        <w:rPr>
          <w:rFonts w:cs="Times New Roman"/>
          <w:bCs/>
          <w:lang w:val="fr-BE"/>
        </w:rPr>
        <w:tab/>
      </w:r>
      <w:r w:rsidR="00CB40F8" w:rsidRPr="00F0587D">
        <w:rPr>
          <w:rFonts w:cs="Times New Roman"/>
          <w:bCs/>
          <w:lang w:val="fr-BE"/>
        </w:rPr>
        <w:t xml:space="preserve">Partie demanderesse </w:t>
      </w:r>
      <w:r w:rsidR="00CB40F8" w:rsidRPr="00294D12">
        <w:rPr>
          <w:rFonts w:eastAsia="Arial" w:cs="Times New Roman"/>
          <w:bCs/>
          <w:lang w:val="fr-BE"/>
        </w:rPr>
        <w:t xml:space="preserve">comparaissant par </w:t>
      </w:r>
      <w:r w:rsidRPr="00294D12">
        <w:rPr>
          <w:lang w:val="fr-BE"/>
        </w:rPr>
        <w:t>Maître ROBIDA Stéphane</w:t>
      </w:r>
      <w:r w:rsidRPr="00F0587D">
        <w:rPr>
          <w:lang w:val="fr-BE"/>
        </w:rPr>
        <w:t xml:space="preserve">, avocat </w:t>
      </w:r>
    </w:p>
    <w:p w:rsidR="00F0587D" w:rsidRPr="00F0587D" w:rsidRDefault="00646DF9">
      <w:pPr>
        <w:pStyle w:val="Standard"/>
        <w:ind w:left="35" w:right="-10"/>
        <w:rPr>
          <w:lang w:val="fr-BE"/>
        </w:rPr>
      </w:pPr>
      <w:r>
        <w:rPr>
          <w:lang w:val="fr-BE"/>
        </w:rPr>
        <w:tab/>
      </w:r>
      <w:r>
        <w:rPr>
          <w:lang w:val="fr-BE"/>
        </w:rPr>
        <w:tab/>
      </w:r>
      <w:r w:rsidR="00F0587D" w:rsidRPr="00F0587D">
        <w:rPr>
          <w:lang w:val="fr-BE"/>
        </w:rPr>
        <w:t xml:space="preserve">à BONCELLES. </w:t>
      </w:r>
    </w:p>
    <w:p w:rsidR="00CB40F8" w:rsidRDefault="00CB40F8" w:rsidP="009030B2">
      <w:pPr>
        <w:pStyle w:val="Standard"/>
        <w:ind w:left="1418"/>
        <w:rPr>
          <w:rFonts w:cs="Times New Roman"/>
          <w:bCs/>
          <w:lang w:val="fr-BE"/>
        </w:rPr>
      </w:pPr>
    </w:p>
    <w:p w:rsidR="00D63190" w:rsidRPr="007427F0" w:rsidRDefault="00D63190" w:rsidP="007427F0">
      <w:pPr>
        <w:pStyle w:val="Standard"/>
        <w:ind w:left="1395"/>
        <w:rPr>
          <w:rFonts w:eastAsia="Arial" w:cs="Times New Roman"/>
          <w:lang w:val="fr-BE"/>
        </w:rPr>
      </w:pPr>
    </w:p>
    <w:p w:rsidR="00A24A01" w:rsidRDefault="00A24A01" w:rsidP="00171143">
      <w:pPr>
        <w:pStyle w:val="Standard"/>
        <w:ind w:left="1418"/>
        <w:rPr>
          <w:rFonts w:cs="Times New Roman"/>
          <w:bCs/>
          <w:lang w:val="fr-BE"/>
        </w:rPr>
      </w:pPr>
    </w:p>
    <w:bookmarkEnd w:id="0"/>
    <w:p w:rsidR="009C3806" w:rsidRDefault="009C3806" w:rsidP="009C3806">
      <w:pPr>
        <w:pStyle w:val="Standard"/>
        <w:jc w:val="both"/>
        <w:rPr>
          <w:rFonts w:cs="Times New Roman"/>
          <w:bCs/>
          <w:caps/>
          <w:lang w:val="fr-BE"/>
        </w:rPr>
      </w:pPr>
      <w:r>
        <w:rPr>
          <w:rFonts w:cs="Times New Roman"/>
          <w:bCs/>
          <w:caps/>
          <w:lang w:val="fr-BE"/>
        </w:rPr>
        <w:t>contre :</w:t>
      </w:r>
    </w:p>
    <w:p w:rsidR="009C3806" w:rsidRDefault="009C3806" w:rsidP="009C3806">
      <w:pPr>
        <w:pStyle w:val="Standard"/>
        <w:ind w:left="1418"/>
        <w:jc w:val="both"/>
        <w:rPr>
          <w:rFonts w:cs="Times New Roman"/>
          <w:bCs/>
          <w:lang w:val="fr-BE"/>
        </w:rPr>
      </w:pPr>
      <w:bookmarkStart w:id="1" w:name="defendeur"/>
      <w:bookmarkStart w:id="2" w:name="niveau"/>
    </w:p>
    <w:p w:rsidR="00523B20" w:rsidRPr="00523B20" w:rsidRDefault="00523B20" w:rsidP="00EA5F36">
      <w:pPr>
        <w:ind w:left="1380"/>
        <w:rPr>
          <w:rFonts w:eastAsia="Courier" w:cs="Times New Roman"/>
          <w:bCs/>
          <w:color w:val="010101"/>
          <w:lang w:val="fr-FR" w:eastAsia="en-US" w:bidi="en-US"/>
        </w:rPr>
      </w:pPr>
      <w:r w:rsidRPr="00523B20">
        <w:rPr>
          <w:rFonts w:eastAsia="Courier" w:cs="Times New Roman"/>
          <w:b/>
          <w:bCs/>
          <w:color w:val="010101"/>
          <w:lang w:val="fr-FR" w:eastAsia="en-US" w:bidi="en-US"/>
        </w:rPr>
        <w:t xml:space="preserve">Agence fédérale des risques professionnels, en abrégé FEDRIS, </w:t>
      </w:r>
      <w:r w:rsidRPr="00523B20">
        <w:rPr>
          <w:rFonts w:eastAsia="Courier" w:cs="Times New Roman"/>
          <w:bCs/>
          <w:color w:val="010101"/>
          <w:lang w:val="fr-FR" w:eastAsia="en-US" w:bidi="en-US"/>
        </w:rPr>
        <w:t>inscrite à la BCE sous le n° 0206.734.318, ayant son siège social avenue de l'Astronomie, 1 à 1210 SAINT-JOSSE-TEN-NOODE.</w:t>
      </w:r>
    </w:p>
    <w:p w:rsidR="00294D12" w:rsidRPr="00294D12" w:rsidRDefault="00F0587D" w:rsidP="00294D12">
      <w:pPr>
        <w:pStyle w:val="Standard"/>
        <w:rPr>
          <w:rFonts w:cs="Times New Roman"/>
          <w:bCs/>
          <w:lang w:val="fr-BE"/>
        </w:rPr>
      </w:pPr>
      <w:r>
        <w:rPr>
          <w:rFonts w:cs="Times New Roman"/>
          <w:bCs/>
          <w:lang w:val="fr-BE"/>
        </w:rPr>
        <w:tab/>
      </w:r>
      <w:r>
        <w:rPr>
          <w:rFonts w:cs="Times New Roman"/>
          <w:bCs/>
          <w:lang w:val="fr-BE"/>
        </w:rPr>
        <w:tab/>
      </w:r>
      <w:r w:rsidR="00CB40F8" w:rsidRPr="00F0587D">
        <w:rPr>
          <w:rFonts w:cs="Times New Roman"/>
          <w:bCs/>
          <w:lang w:val="fr-BE"/>
        </w:rPr>
        <w:t xml:space="preserve">Partie défenderesse comparaissant par </w:t>
      </w:r>
      <w:r w:rsidR="00294D12" w:rsidRPr="00294D12">
        <w:rPr>
          <w:rFonts w:cs="Times New Roman"/>
          <w:bCs/>
          <w:lang w:val="fr-BE"/>
        </w:rPr>
        <w:t xml:space="preserve">Maître CORNEZ Claire loco </w:t>
      </w:r>
      <w:r w:rsidR="00294D12" w:rsidRPr="00294D12">
        <w:rPr>
          <w:rFonts w:cs="Times New Roman"/>
          <w:bCs/>
          <w:lang w:val="fr-BE"/>
        </w:rPr>
        <w:tab/>
      </w:r>
      <w:r w:rsidR="00294D12">
        <w:rPr>
          <w:rFonts w:cs="Times New Roman"/>
          <w:bCs/>
          <w:lang w:val="fr-BE"/>
        </w:rPr>
        <w:tab/>
      </w:r>
      <w:r w:rsidR="00294D12">
        <w:rPr>
          <w:rFonts w:cs="Times New Roman"/>
          <w:bCs/>
          <w:lang w:val="fr-BE"/>
        </w:rPr>
        <w:tab/>
      </w:r>
      <w:r w:rsidR="00294D12" w:rsidRPr="00294D12">
        <w:rPr>
          <w:rFonts w:cs="Times New Roman"/>
          <w:bCs/>
          <w:lang w:val="fr-BE"/>
        </w:rPr>
        <w:t>Maître BODEUS Alain, avocat à LIEGE</w:t>
      </w:r>
      <w:r w:rsidR="00294D12">
        <w:rPr>
          <w:rFonts w:cs="Times New Roman"/>
          <w:bCs/>
          <w:lang w:val="fr-BE"/>
        </w:rPr>
        <w:t>.</w:t>
      </w:r>
      <w:r w:rsidR="00294D12" w:rsidRPr="00294D12">
        <w:rPr>
          <w:rFonts w:cs="Times New Roman"/>
          <w:bCs/>
          <w:lang w:val="fr-BE"/>
        </w:rPr>
        <w:t xml:space="preserve"> </w:t>
      </w:r>
    </w:p>
    <w:p w:rsidR="00C166C1" w:rsidRPr="00C166C1" w:rsidRDefault="00C166C1" w:rsidP="00646DF9">
      <w:pPr>
        <w:pStyle w:val="Standard"/>
        <w:ind w:left="35" w:right="-10"/>
        <w:rPr>
          <w:rFonts w:eastAsia="Courier" w:cs="Courier"/>
          <w:color w:val="010101"/>
          <w:lang w:val="fr-BE"/>
        </w:rPr>
      </w:pPr>
    </w:p>
    <w:p w:rsidR="00171143" w:rsidRPr="00171143" w:rsidRDefault="00171143" w:rsidP="00171143">
      <w:pPr>
        <w:ind w:left="1380"/>
        <w:rPr>
          <w:rFonts w:eastAsia="Courier" w:cs="Times New Roman"/>
          <w:color w:val="010101"/>
          <w:lang w:eastAsia="en-US" w:bidi="en-US"/>
        </w:rPr>
      </w:pPr>
    </w:p>
    <w:bookmarkEnd w:id="1"/>
    <w:bookmarkEnd w:id="2"/>
    <w:p w:rsidR="00712B25" w:rsidRPr="000C480B" w:rsidRDefault="00712B25">
      <w:pPr>
        <w:pStyle w:val="Standard"/>
        <w:jc w:val="both"/>
        <w:rPr>
          <w:rFonts w:cs="Times New Roman"/>
          <w:lang w:val="fr-BE"/>
        </w:rPr>
      </w:pPr>
    </w:p>
    <w:p w:rsidR="00834670" w:rsidRPr="000C480B" w:rsidRDefault="00436627" w:rsidP="00712B25">
      <w:pPr>
        <w:pStyle w:val="Textbody"/>
        <w:ind w:firstLine="709"/>
        <w:jc w:val="center"/>
        <w:rPr>
          <w:rFonts w:eastAsia="Times New Roman" w:cs="Times New Roman"/>
          <w:lang w:val="fr-BE"/>
        </w:rPr>
      </w:pPr>
      <w:r w:rsidRPr="000C480B">
        <w:rPr>
          <w:rFonts w:cs="Times New Roman"/>
          <w:b/>
          <w:lang w:val="fr-BE"/>
        </w:rPr>
        <w:t>En</w:t>
      </w:r>
      <w:r w:rsidR="00712B25" w:rsidRPr="000C480B">
        <w:rPr>
          <w:rFonts w:cs="Times New Roman"/>
          <w:b/>
          <w:lang w:val="fr-BE"/>
        </w:rPr>
        <w:t xml:space="preserve"> droit,</w:t>
      </w:r>
    </w:p>
    <w:p w:rsidR="00712B25" w:rsidRDefault="00712B25" w:rsidP="00F621E2">
      <w:pPr>
        <w:tabs>
          <w:tab w:val="left" w:pos="-1440"/>
        </w:tabs>
        <w:snapToGrid w:val="0"/>
        <w:jc w:val="both"/>
        <w:rPr>
          <w:rFonts w:cs="Times New Roman"/>
          <w:b/>
        </w:rPr>
      </w:pPr>
    </w:p>
    <w:p w:rsidR="006755A6" w:rsidRPr="006755A6" w:rsidRDefault="006755A6" w:rsidP="006755A6">
      <w:pPr>
        <w:tabs>
          <w:tab w:val="left" w:pos="-1440"/>
        </w:tabs>
        <w:snapToGrid w:val="0"/>
        <w:jc w:val="both"/>
        <w:rPr>
          <w:rFonts w:cs="Times New Roman"/>
          <w:lang w:val="fr-FR"/>
        </w:rPr>
      </w:pPr>
      <w:r w:rsidRPr="006755A6">
        <w:rPr>
          <w:rFonts w:cs="Times New Roman"/>
          <w:lang w:val="fr-FR"/>
        </w:rPr>
        <w:t xml:space="preserve">A l’audience publique tenue en langue française le </w:t>
      </w:r>
      <w:r w:rsidR="00C37861">
        <w:rPr>
          <w:rFonts w:cs="Times New Roman"/>
          <w:lang w:val="fr-FR"/>
        </w:rPr>
        <w:t>2</w:t>
      </w:r>
      <w:r w:rsidR="00646DF9">
        <w:rPr>
          <w:rFonts w:cs="Times New Roman"/>
          <w:lang w:val="fr-FR"/>
        </w:rPr>
        <w:t xml:space="preserve"> juin</w:t>
      </w:r>
      <w:r w:rsidR="00135B22">
        <w:rPr>
          <w:rFonts w:cs="Times New Roman"/>
          <w:lang w:val="fr-FR"/>
        </w:rPr>
        <w:t xml:space="preserve"> 2022</w:t>
      </w:r>
      <w:r w:rsidRPr="006755A6">
        <w:rPr>
          <w:rFonts w:cs="Times New Roman"/>
          <w:lang w:val="fr-FR"/>
        </w:rPr>
        <w:t>, les parties sont entendu</w:t>
      </w:r>
      <w:r w:rsidR="00F737EA">
        <w:rPr>
          <w:rFonts w:cs="Times New Roman"/>
          <w:lang w:val="fr-FR"/>
        </w:rPr>
        <w:t>e</w:t>
      </w:r>
      <w:r w:rsidRPr="006755A6">
        <w:rPr>
          <w:rFonts w:cs="Times New Roman"/>
          <w:lang w:val="fr-FR"/>
        </w:rPr>
        <w:t>s puis le tribunal clôture les débats.</w:t>
      </w:r>
    </w:p>
    <w:p w:rsidR="006755A6" w:rsidRPr="006755A6" w:rsidRDefault="006755A6" w:rsidP="006755A6">
      <w:pPr>
        <w:tabs>
          <w:tab w:val="left" w:pos="-1440"/>
        </w:tabs>
        <w:snapToGrid w:val="0"/>
        <w:jc w:val="both"/>
        <w:rPr>
          <w:rFonts w:cs="Times New Roman"/>
          <w:lang w:val="fr-FR"/>
        </w:rPr>
      </w:pPr>
    </w:p>
    <w:p w:rsidR="006755A6" w:rsidRPr="006755A6" w:rsidRDefault="006755A6" w:rsidP="006755A6">
      <w:pPr>
        <w:tabs>
          <w:tab w:val="left" w:pos="-1440"/>
        </w:tabs>
        <w:snapToGrid w:val="0"/>
        <w:jc w:val="both"/>
        <w:rPr>
          <w:rFonts w:cs="Times New Roman"/>
          <w:lang w:val="fr-FR"/>
        </w:rPr>
      </w:pPr>
      <w:r w:rsidRPr="006755A6">
        <w:rPr>
          <w:rFonts w:cs="Times New Roman"/>
          <w:lang w:val="fr-FR"/>
        </w:rPr>
        <w:t>Et ce jour, à l’appel de la cause.</w:t>
      </w:r>
    </w:p>
    <w:p w:rsidR="006755A6" w:rsidRPr="006755A6" w:rsidRDefault="006755A6" w:rsidP="006755A6">
      <w:pPr>
        <w:tabs>
          <w:tab w:val="left" w:pos="-1440"/>
        </w:tabs>
        <w:snapToGrid w:val="0"/>
        <w:jc w:val="both"/>
        <w:rPr>
          <w:rFonts w:cs="Times New Roman"/>
          <w:lang w:val="fr-FR"/>
        </w:rPr>
      </w:pPr>
    </w:p>
    <w:p w:rsidR="006755A6" w:rsidRPr="006755A6" w:rsidRDefault="006755A6" w:rsidP="006755A6">
      <w:pPr>
        <w:tabs>
          <w:tab w:val="left" w:pos="-1440"/>
        </w:tabs>
        <w:snapToGrid w:val="0"/>
        <w:jc w:val="both"/>
        <w:rPr>
          <w:rFonts w:cs="Times New Roman"/>
          <w:b/>
          <w:bCs/>
          <w:lang w:val="fr-FR"/>
        </w:rPr>
      </w:pPr>
      <w:r w:rsidRPr="006755A6">
        <w:rPr>
          <w:rFonts w:cs="Times New Roman"/>
          <w:b/>
          <w:bCs/>
          <w:u w:val="single"/>
          <w:lang w:val="fr-FR"/>
        </w:rPr>
        <w:t>LE TRIBUNAL PRONONCE LE JUGEMENT SUIVANT</w:t>
      </w:r>
      <w:r w:rsidRPr="006755A6">
        <w:rPr>
          <w:rFonts w:cs="Times New Roman"/>
          <w:b/>
          <w:bCs/>
          <w:lang w:val="fr-FR"/>
        </w:rPr>
        <w:t> :</w:t>
      </w:r>
    </w:p>
    <w:p w:rsidR="006755A6" w:rsidRPr="006755A6" w:rsidRDefault="006755A6" w:rsidP="006755A6">
      <w:pPr>
        <w:tabs>
          <w:tab w:val="left" w:pos="-1440"/>
        </w:tabs>
        <w:snapToGrid w:val="0"/>
        <w:jc w:val="both"/>
        <w:rPr>
          <w:rFonts w:cs="Times New Roman"/>
          <w:lang w:val="fr-FR"/>
        </w:rPr>
      </w:pPr>
    </w:p>
    <w:p w:rsidR="006755A6" w:rsidRPr="006755A6" w:rsidRDefault="006755A6" w:rsidP="006755A6">
      <w:pPr>
        <w:tabs>
          <w:tab w:val="left" w:pos="-1440"/>
        </w:tabs>
        <w:snapToGrid w:val="0"/>
        <w:jc w:val="both"/>
        <w:rPr>
          <w:rFonts w:cs="Times New Roman"/>
          <w:lang w:val="fr-FR"/>
        </w:rPr>
      </w:pPr>
      <w:r w:rsidRPr="006755A6">
        <w:rPr>
          <w:rFonts w:cs="Times New Roman"/>
          <w:lang w:val="fr-FR"/>
        </w:rPr>
        <w:t>Vu les articles 1, 30, 34 à 37 et 41 de la loi du 15 juin 1935 concernant l’emploi des langues en matière judiciaire.</w:t>
      </w:r>
    </w:p>
    <w:p w:rsidR="00646DF9" w:rsidRPr="006755A6" w:rsidRDefault="00646DF9" w:rsidP="006755A6">
      <w:pPr>
        <w:tabs>
          <w:tab w:val="left" w:pos="-1440"/>
        </w:tabs>
        <w:snapToGrid w:val="0"/>
        <w:jc w:val="both"/>
        <w:rPr>
          <w:rFonts w:cs="Times New Roman"/>
          <w:b/>
          <w:bCs/>
          <w:u w:val="single"/>
          <w:lang w:val="fr-FR"/>
        </w:rPr>
      </w:pPr>
    </w:p>
    <w:p w:rsidR="006755A6" w:rsidRPr="006755A6" w:rsidRDefault="006755A6" w:rsidP="006755A6">
      <w:pPr>
        <w:numPr>
          <w:ilvl w:val="0"/>
          <w:numId w:val="2"/>
        </w:numPr>
        <w:tabs>
          <w:tab w:val="left" w:pos="-1440"/>
        </w:tabs>
        <w:snapToGrid w:val="0"/>
        <w:jc w:val="both"/>
        <w:rPr>
          <w:rFonts w:cs="Times New Roman"/>
          <w:b/>
          <w:bCs/>
          <w:u w:val="single"/>
          <w:lang w:val="fr-FR"/>
        </w:rPr>
      </w:pPr>
      <w:r w:rsidRPr="006755A6">
        <w:rPr>
          <w:rFonts w:cs="Times New Roman"/>
          <w:b/>
          <w:bCs/>
          <w:u w:val="single"/>
          <w:lang w:val="fr-FR"/>
        </w:rPr>
        <w:lastRenderedPageBreak/>
        <w:t>PROCEDURE</w:t>
      </w:r>
    </w:p>
    <w:p w:rsidR="006755A6" w:rsidRPr="006755A6" w:rsidRDefault="006755A6" w:rsidP="006755A6">
      <w:pPr>
        <w:tabs>
          <w:tab w:val="left" w:pos="-1440"/>
        </w:tabs>
        <w:snapToGrid w:val="0"/>
        <w:jc w:val="both"/>
        <w:rPr>
          <w:rFonts w:cs="Times New Roman"/>
          <w:lang w:val="fr-FR"/>
        </w:rPr>
      </w:pPr>
    </w:p>
    <w:p w:rsidR="006755A6" w:rsidRPr="006755A6" w:rsidRDefault="006755A6" w:rsidP="006755A6">
      <w:pPr>
        <w:tabs>
          <w:tab w:val="left" w:pos="-1440"/>
        </w:tabs>
        <w:snapToGrid w:val="0"/>
        <w:jc w:val="both"/>
        <w:rPr>
          <w:rFonts w:cs="Times New Roman"/>
          <w:lang w:val="fr-FR"/>
        </w:rPr>
      </w:pPr>
      <w:r w:rsidRPr="006755A6">
        <w:rPr>
          <w:rFonts w:cs="Times New Roman"/>
          <w:b/>
          <w:lang w:val="fr-FR"/>
        </w:rPr>
        <w:t>VU</w:t>
      </w:r>
      <w:r w:rsidRPr="006755A6">
        <w:rPr>
          <w:rFonts w:cs="Times New Roman"/>
          <w:lang w:val="fr-FR"/>
        </w:rPr>
        <w:t xml:space="preserve"> le dossier de la procédure, dont :</w:t>
      </w:r>
    </w:p>
    <w:p w:rsidR="006755A6" w:rsidRPr="006755A6" w:rsidRDefault="006755A6" w:rsidP="006755A6">
      <w:pPr>
        <w:tabs>
          <w:tab w:val="left" w:pos="-1440"/>
        </w:tabs>
        <w:snapToGrid w:val="0"/>
        <w:jc w:val="both"/>
        <w:rPr>
          <w:rFonts w:cs="Times New Roman"/>
          <w:lang w:val="fr-FR"/>
        </w:rPr>
      </w:pPr>
    </w:p>
    <w:p w:rsidR="00B02902" w:rsidRPr="00B02902" w:rsidRDefault="006755A6" w:rsidP="00550848">
      <w:pPr>
        <w:pStyle w:val="Paragraphedeliste"/>
        <w:numPr>
          <w:ilvl w:val="0"/>
          <w:numId w:val="7"/>
        </w:numPr>
        <w:tabs>
          <w:tab w:val="left" w:pos="-1440"/>
        </w:tabs>
        <w:snapToGrid w:val="0"/>
        <w:jc w:val="both"/>
        <w:rPr>
          <w:rFonts w:cs="Times New Roman"/>
          <w:i/>
          <w:lang w:val="fr-FR"/>
        </w:rPr>
      </w:pPr>
      <w:r w:rsidRPr="00B02902">
        <w:rPr>
          <w:rFonts w:cs="Times New Roman"/>
          <w:lang w:val="fr-FR"/>
        </w:rPr>
        <w:t>Le jugement rendu le</w:t>
      </w:r>
      <w:r w:rsidR="005E512C">
        <w:rPr>
          <w:rFonts w:cs="Times New Roman"/>
          <w:lang w:val="fr-FR"/>
        </w:rPr>
        <w:t xml:space="preserve"> 25 juin 2020</w:t>
      </w:r>
      <w:r w:rsidR="00145511">
        <w:rPr>
          <w:rFonts w:cs="Times New Roman"/>
          <w:lang w:val="fr-FR"/>
        </w:rPr>
        <w:t xml:space="preserve"> </w:t>
      </w:r>
      <w:r w:rsidRPr="00B02902">
        <w:rPr>
          <w:rFonts w:cs="Times New Roman"/>
          <w:lang w:val="fr-FR"/>
        </w:rPr>
        <w:t>, lequel, dit l’action recevable et avant faire droit au fond, désigne en qualité d’expert médecin le docteur</w:t>
      </w:r>
      <w:r w:rsidR="00646DF9">
        <w:rPr>
          <w:rFonts w:cs="Times New Roman"/>
          <w:lang w:val="fr-FR"/>
        </w:rPr>
        <w:t xml:space="preserve"> </w:t>
      </w:r>
      <w:r w:rsidR="005E512C">
        <w:rPr>
          <w:rFonts w:cs="Times New Roman"/>
          <w:lang w:val="fr-FR"/>
        </w:rPr>
        <w:t>DENGIS</w:t>
      </w:r>
      <w:r w:rsidR="00171143">
        <w:rPr>
          <w:rFonts w:cs="Times New Roman"/>
          <w:lang w:val="fr-FR"/>
        </w:rPr>
        <w:t>;</w:t>
      </w:r>
    </w:p>
    <w:p w:rsidR="00B02902" w:rsidRPr="00B02902" w:rsidRDefault="00B02902" w:rsidP="00B02902">
      <w:pPr>
        <w:pStyle w:val="Paragraphedeliste"/>
        <w:tabs>
          <w:tab w:val="left" w:pos="-1440"/>
        </w:tabs>
        <w:snapToGrid w:val="0"/>
        <w:jc w:val="both"/>
        <w:rPr>
          <w:rFonts w:cs="Times New Roman"/>
          <w:i/>
          <w:lang w:val="fr-FR"/>
        </w:rPr>
      </w:pPr>
    </w:p>
    <w:p w:rsidR="006755A6" w:rsidRPr="002A66EB" w:rsidRDefault="006755A6" w:rsidP="006755A6">
      <w:pPr>
        <w:pStyle w:val="Paragraphedeliste"/>
        <w:numPr>
          <w:ilvl w:val="0"/>
          <w:numId w:val="7"/>
        </w:numPr>
        <w:tabs>
          <w:tab w:val="left" w:pos="-1440"/>
        </w:tabs>
        <w:snapToGrid w:val="0"/>
        <w:jc w:val="both"/>
        <w:rPr>
          <w:rFonts w:cs="Times New Roman"/>
          <w:i/>
          <w:lang w:val="fr-FR"/>
        </w:rPr>
      </w:pPr>
      <w:r w:rsidRPr="00B02902">
        <w:rPr>
          <w:rFonts w:cs="Times New Roman"/>
          <w:lang w:val="fr-FR"/>
        </w:rPr>
        <w:t>Le rapport de l’expert, déposé au greffe le</w:t>
      </w:r>
      <w:r w:rsidR="00E60675" w:rsidRPr="00B02902">
        <w:rPr>
          <w:rFonts w:cs="Times New Roman"/>
          <w:lang w:val="fr-FR"/>
        </w:rPr>
        <w:t xml:space="preserve"> </w:t>
      </w:r>
      <w:r w:rsidR="005E512C">
        <w:rPr>
          <w:rFonts w:cs="Times New Roman"/>
          <w:lang w:val="fr-FR"/>
        </w:rPr>
        <w:t>6 décembre 2021</w:t>
      </w:r>
      <w:r w:rsidR="00171143">
        <w:rPr>
          <w:rFonts w:cs="Times New Roman"/>
          <w:lang w:val="fr-FR"/>
        </w:rPr>
        <w:t>;</w:t>
      </w:r>
    </w:p>
    <w:p w:rsidR="001E1609" w:rsidRDefault="001E1609" w:rsidP="001E1609">
      <w:pPr>
        <w:pStyle w:val="Paragraphedeliste"/>
        <w:tabs>
          <w:tab w:val="left" w:pos="-1440"/>
        </w:tabs>
        <w:snapToGrid w:val="0"/>
        <w:jc w:val="both"/>
        <w:rPr>
          <w:rFonts w:cs="Times New Roman"/>
          <w:lang w:val="fr-FR"/>
        </w:rPr>
      </w:pPr>
    </w:p>
    <w:p w:rsidR="001E1609" w:rsidRDefault="0054280D" w:rsidP="001E1609">
      <w:pPr>
        <w:pStyle w:val="Paragraphedeliste"/>
        <w:numPr>
          <w:ilvl w:val="0"/>
          <w:numId w:val="7"/>
        </w:numPr>
        <w:tabs>
          <w:tab w:val="left" w:pos="-1440"/>
        </w:tabs>
        <w:snapToGrid w:val="0"/>
        <w:jc w:val="both"/>
        <w:rPr>
          <w:rFonts w:cs="Times New Roman"/>
          <w:lang w:val="fr-FR"/>
        </w:rPr>
      </w:pPr>
      <w:r>
        <w:rPr>
          <w:rFonts w:cs="Times New Roman"/>
          <w:lang w:val="fr-FR"/>
        </w:rPr>
        <w:t xml:space="preserve">Les conclusions, </w:t>
      </w:r>
      <w:r w:rsidR="001E1609" w:rsidRPr="00B02902">
        <w:rPr>
          <w:rFonts w:cs="Times New Roman"/>
          <w:lang w:val="fr-FR"/>
        </w:rPr>
        <w:t>après expertise</w:t>
      </w:r>
      <w:r>
        <w:rPr>
          <w:rFonts w:cs="Times New Roman"/>
          <w:lang w:val="fr-FR"/>
        </w:rPr>
        <w:t>,</w:t>
      </w:r>
      <w:r w:rsidR="001E1609" w:rsidRPr="00B02902">
        <w:rPr>
          <w:rFonts w:cs="Times New Roman"/>
          <w:lang w:val="fr-FR"/>
        </w:rPr>
        <w:t xml:space="preserve"> de la partie </w:t>
      </w:r>
      <w:r w:rsidR="001E1609">
        <w:rPr>
          <w:rFonts w:cs="Times New Roman"/>
          <w:lang w:val="fr-FR"/>
        </w:rPr>
        <w:t>demanderesse</w:t>
      </w:r>
      <w:r w:rsidR="001E1609" w:rsidRPr="00B02902">
        <w:rPr>
          <w:rFonts w:cs="Times New Roman"/>
          <w:lang w:val="fr-FR"/>
        </w:rPr>
        <w:t xml:space="preserve"> </w:t>
      </w:r>
      <w:r w:rsidR="001E1609">
        <w:rPr>
          <w:rFonts w:cs="Times New Roman"/>
          <w:lang w:val="fr-FR"/>
        </w:rPr>
        <w:t>déposé</w:t>
      </w:r>
      <w:r>
        <w:rPr>
          <w:rFonts w:cs="Times New Roman"/>
          <w:lang w:val="fr-FR"/>
        </w:rPr>
        <w:t xml:space="preserve">es </w:t>
      </w:r>
      <w:r w:rsidR="004C5C08">
        <w:rPr>
          <w:rFonts w:cs="Times New Roman"/>
          <w:lang w:val="fr-FR"/>
        </w:rPr>
        <w:t>le</w:t>
      </w:r>
      <w:r w:rsidR="005E512C">
        <w:rPr>
          <w:rFonts w:cs="Times New Roman"/>
          <w:lang w:val="fr-FR"/>
        </w:rPr>
        <w:t xml:space="preserve"> 10 janvier 2022</w:t>
      </w:r>
      <w:r w:rsidR="001E1609">
        <w:rPr>
          <w:rFonts w:cs="Times New Roman"/>
          <w:lang w:val="fr-FR"/>
        </w:rPr>
        <w:t>;</w:t>
      </w:r>
    </w:p>
    <w:p w:rsidR="00B02902" w:rsidRPr="00B02902" w:rsidRDefault="00B02902" w:rsidP="00B02902">
      <w:pPr>
        <w:tabs>
          <w:tab w:val="left" w:pos="-1440"/>
        </w:tabs>
        <w:snapToGrid w:val="0"/>
        <w:jc w:val="both"/>
        <w:rPr>
          <w:rFonts w:cs="Times New Roman"/>
          <w:lang w:val="fr-FR"/>
        </w:rPr>
      </w:pPr>
    </w:p>
    <w:p w:rsidR="006755A6" w:rsidRPr="006755A6" w:rsidRDefault="00E60675" w:rsidP="006755A6">
      <w:pPr>
        <w:pStyle w:val="Paragraphedeliste"/>
        <w:numPr>
          <w:ilvl w:val="0"/>
          <w:numId w:val="7"/>
        </w:numPr>
        <w:tabs>
          <w:tab w:val="left" w:pos="-1440"/>
        </w:tabs>
        <w:snapToGrid w:val="0"/>
        <w:jc w:val="both"/>
        <w:rPr>
          <w:rFonts w:cs="Times New Roman"/>
          <w:lang w:val="fr-FR"/>
        </w:rPr>
      </w:pPr>
      <w:r>
        <w:rPr>
          <w:rFonts w:cs="Times New Roman"/>
          <w:lang w:val="fr-FR"/>
        </w:rPr>
        <w:t>Le procès-verbal d’audience publique.</w:t>
      </w:r>
      <w:r w:rsidR="006755A6">
        <w:rPr>
          <w:rFonts w:cs="Times New Roman"/>
          <w:lang w:val="fr-FR"/>
        </w:rPr>
        <w:t xml:space="preserve">          </w:t>
      </w:r>
    </w:p>
    <w:p w:rsidR="006755A6" w:rsidRPr="006755A6" w:rsidRDefault="006755A6" w:rsidP="006755A6">
      <w:pPr>
        <w:tabs>
          <w:tab w:val="left" w:pos="-1440"/>
        </w:tabs>
        <w:snapToGrid w:val="0"/>
        <w:jc w:val="both"/>
        <w:rPr>
          <w:rFonts w:cs="Times New Roman"/>
          <w:lang w:val="fr-FR"/>
        </w:rPr>
      </w:pPr>
    </w:p>
    <w:p w:rsidR="007D258B" w:rsidRPr="006755A6" w:rsidRDefault="007D258B" w:rsidP="007D258B">
      <w:pPr>
        <w:tabs>
          <w:tab w:val="left" w:pos="-1440"/>
        </w:tabs>
        <w:snapToGrid w:val="0"/>
        <w:jc w:val="both"/>
        <w:rPr>
          <w:rFonts w:cs="Times New Roman"/>
          <w:lang w:val="fr-FR"/>
        </w:rPr>
      </w:pPr>
    </w:p>
    <w:p w:rsidR="007D258B" w:rsidRPr="00B02902" w:rsidRDefault="007D258B" w:rsidP="007D258B">
      <w:pPr>
        <w:numPr>
          <w:ilvl w:val="0"/>
          <w:numId w:val="2"/>
        </w:numPr>
        <w:tabs>
          <w:tab w:val="left" w:pos="-1440"/>
        </w:tabs>
        <w:snapToGrid w:val="0"/>
        <w:jc w:val="both"/>
        <w:rPr>
          <w:rFonts w:cs="Times New Roman"/>
          <w:b/>
          <w:lang w:val="fr-FR"/>
        </w:rPr>
      </w:pPr>
      <w:r w:rsidRPr="006755A6">
        <w:rPr>
          <w:rFonts w:cs="Times New Roman"/>
          <w:b/>
          <w:u w:val="single"/>
          <w:lang w:val="fr-FR"/>
        </w:rPr>
        <w:t>POSITION DES PARTIES.</w:t>
      </w:r>
    </w:p>
    <w:p w:rsidR="007D258B" w:rsidRPr="006755A6" w:rsidRDefault="007D258B" w:rsidP="007D258B">
      <w:pPr>
        <w:tabs>
          <w:tab w:val="left" w:pos="-1440"/>
        </w:tabs>
        <w:snapToGrid w:val="0"/>
        <w:jc w:val="both"/>
        <w:rPr>
          <w:rFonts w:cs="Times New Roman"/>
          <w:lang w:val="fr-FR"/>
        </w:rPr>
      </w:pPr>
    </w:p>
    <w:p w:rsidR="007D258B" w:rsidRPr="006755A6" w:rsidRDefault="007D258B" w:rsidP="007D258B">
      <w:pPr>
        <w:tabs>
          <w:tab w:val="left" w:pos="-1440"/>
        </w:tabs>
        <w:snapToGrid w:val="0"/>
        <w:jc w:val="both"/>
        <w:rPr>
          <w:rFonts w:cs="Times New Roman"/>
          <w:bCs/>
          <w:lang w:val="fr-FR"/>
        </w:rPr>
      </w:pPr>
      <w:r w:rsidRPr="00B02902">
        <w:rPr>
          <w:rFonts w:cs="Times New Roman"/>
          <w:u w:val="single"/>
          <w:lang w:val="fr-FR"/>
        </w:rPr>
        <w:t>L</w:t>
      </w:r>
      <w:r w:rsidRPr="006755A6">
        <w:rPr>
          <w:rFonts w:cs="Times New Roman"/>
          <w:u w:val="single"/>
          <w:lang w:val="fr-FR"/>
        </w:rPr>
        <w:t>a partie demanderesse</w:t>
      </w:r>
      <w:r w:rsidRPr="006755A6">
        <w:rPr>
          <w:rFonts w:cs="Times New Roman"/>
          <w:lang w:val="fr-FR"/>
        </w:rPr>
        <w:t xml:space="preserve"> postule</w:t>
      </w:r>
      <w:r w:rsidRPr="006755A6">
        <w:rPr>
          <w:rFonts w:cs="Times New Roman"/>
          <w:bCs/>
          <w:lang w:val="fr-FR"/>
        </w:rPr>
        <w:t xml:space="preserve"> l’entérinement du rapport d’expertise.  </w:t>
      </w:r>
      <w:r>
        <w:rPr>
          <w:rFonts w:cs="Times New Roman"/>
          <w:bCs/>
          <w:lang w:val="fr-FR"/>
        </w:rPr>
        <w:t xml:space="preserve">Elle </w:t>
      </w:r>
      <w:r w:rsidRPr="006755A6">
        <w:rPr>
          <w:rFonts w:cs="Times New Roman"/>
          <w:bCs/>
          <w:lang w:val="fr-FR"/>
        </w:rPr>
        <w:t>sollicite que les facteurs économiques et sociaux soient fixés</w:t>
      </w:r>
      <w:r>
        <w:rPr>
          <w:rFonts w:cs="Times New Roman"/>
          <w:bCs/>
          <w:lang w:val="fr-FR"/>
        </w:rPr>
        <w:t xml:space="preserve"> respectivement</w:t>
      </w:r>
      <w:r w:rsidRPr="006755A6">
        <w:rPr>
          <w:rFonts w:cs="Times New Roman"/>
          <w:bCs/>
          <w:lang w:val="fr-FR"/>
        </w:rPr>
        <w:t xml:space="preserve"> à </w:t>
      </w:r>
      <w:r w:rsidRPr="005633F5">
        <w:rPr>
          <w:rFonts w:cs="Times New Roman"/>
          <w:bCs/>
          <w:lang w:val="fr-FR"/>
        </w:rPr>
        <w:t>0</w:t>
      </w:r>
      <w:r w:rsidR="00B43D7C">
        <w:rPr>
          <w:rFonts w:cs="Times New Roman"/>
          <w:bCs/>
          <w:lang w:val="fr-FR"/>
        </w:rPr>
        <w:t>6</w:t>
      </w:r>
      <w:r w:rsidRPr="005633F5">
        <w:rPr>
          <w:rFonts w:cs="Times New Roman"/>
          <w:bCs/>
          <w:lang w:val="fr-FR"/>
        </w:rPr>
        <w:t>%</w:t>
      </w:r>
      <w:r>
        <w:rPr>
          <w:rFonts w:cs="Times New Roman"/>
          <w:bCs/>
          <w:lang w:val="fr-FR"/>
        </w:rPr>
        <w:t xml:space="preserve"> et 0</w:t>
      </w:r>
      <w:r w:rsidR="00B43D7C">
        <w:rPr>
          <w:rFonts w:cs="Times New Roman"/>
          <w:bCs/>
          <w:lang w:val="fr-FR"/>
        </w:rPr>
        <w:t>5</w:t>
      </w:r>
      <w:r>
        <w:rPr>
          <w:rFonts w:cs="Times New Roman"/>
          <w:bCs/>
          <w:lang w:val="fr-FR"/>
        </w:rPr>
        <w:t xml:space="preserve"> %</w:t>
      </w:r>
      <w:r w:rsidRPr="005633F5">
        <w:rPr>
          <w:rFonts w:cs="Times New Roman"/>
          <w:bCs/>
          <w:lang w:val="fr-FR"/>
        </w:rPr>
        <w:t>.</w:t>
      </w:r>
    </w:p>
    <w:p w:rsidR="007D258B" w:rsidRPr="006755A6" w:rsidRDefault="007D258B" w:rsidP="007D258B">
      <w:pPr>
        <w:tabs>
          <w:tab w:val="left" w:pos="-1440"/>
        </w:tabs>
        <w:snapToGrid w:val="0"/>
        <w:jc w:val="both"/>
        <w:rPr>
          <w:rFonts w:cs="Times New Roman"/>
          <w:bCs/>
          <w:lang w:val="fr-FR"/>
        </w:rPr>
      </w:pPr>
    </w:p>
    <w:p w:rsidR="007D258B" w:rsidRPr="006755A6" w:rsidRDefault="007D258B" w:rsidP="007D258B">
      <w:pPr>
        <w:tabs>
          <w:tab w:val="left" w:pos="-1440"/>
        </w:tabs>
        <w:snapToGrid w:val="0"/>
        <w:jc w:val="both"/>
        <w:rPr>
          <w:rFonts w:cs="Times New Roman"/>
          <w:bCs/>
          <w:lang w:val="fr-FR"/>
        </w:rPr>
      </w:pPr>
      <w:r>
        <w:rPr>
          <w:rFonts w:cs="Times New Roman"/>
          <w:bCs/>
          <w:lang w:val="fr-FR"/>
        </w:rPr>
        <w:t xml:space="preserve">Elle </w:t>
      </w:r>
      <w:r w:rsidRPr="006755A6">
        <w:rPr>
          <w:rFonts w:cs="Times New Roman"/>
          <w:bCs/>
          <w:lang w:val="fr-FR"/>
        </w:rPr>
        <w:t xml:space="preserve">demande également la condamnation de la partie défenderesse au paiement des intérêts ainsi qu’aux </w:t>
      </w:r>
      <w:r>
        <w:rPr>
          <w:rFonts w:cs="Times New Roman"/>
          <w:bCs/>
          <w:lang w:val="fr-FR"/>
        </w:rPr>
        <w:t xml:space="preserve">frais d’expertise et aux </w:t>
      </w:r>
      <w:r w:rsidRPr="006755A6">
        <w:rPr>
          <w:rFonts w:cs="Times New Roman"/>
          <w:bCs/>
          <w:lang w:val="fr-FR"/>
        </w:rPr>
        <w:t>dépens.</w:t>
      </w:r>
    </w:p>
    <w:p w:rsidR="007D258B" w:rsidRPr="006755A6" w:rsidRDefault="007D258B" w:rsidP="007D258B">
      <w:pPr>
        <w:tabs>
          <w:tab w:val="left" w:pos="-1440"/>
        </w:tabs>
        <w:snapToGrid w:val="0"/>
        <w:jc w:val="both"/>
        <w:rPr>
          <w:rFonts w:cs="Times New Roman"/>
          <w:bCs/>
          <w:lang w:val="fr-FR"/>
        </w:rPr>
      </w:pPr>
    </w:p>
    <w:p w:rsidR="007D258B" w:rsidRDefault="007D258B" w:rsidP="007D258B">
      <w:pPr>
        <w:tabs>
          <w:tab w:val="left" w:pos="-1440"/>
        </w:tabs>
        <w:snapToGrid w:val="0"/>
        <w:jc w:val="both"/>
        <w:rPr>
          <w:rFonts w:cs="Times New Roman"/>
          <w:bCs/>
          <w:lang w:val="fr-FR"/>
        </w:rPr>
      </w:pPr>
      <w:r w:rsidRPr="005633F5">
        <w:rPr>
          <w:rFonts w:cs="Times New Roman"/>
          <w:bCs/>
          <w:u w:val="single"/>
          <w:lang w:val="fr-FR"/>
        </w:rPr>
        <w:t>La partie défenderesse</w:t>
      </w:r>
      <w:r w:rsidRPr="005633F5">
        <w:rPr>
          <w:rFonts w:cs="Times New Roman"/>
          <w:bCs/>
          <w:lang w:val="fr-FR"/>
        </w:rPr>
        <w:t xml:space="preserve"> a </w:t>
      </w:r>
      <w:r>
        <w:rPr>
          <w:rFonts w:cs="Times New Roman"/>
          <w:bCs/>
          <w:lang w:val="fr-FR"/>
        </w:rPr>
        <w:t>déclaré s’en référer à justice quant aux conclusions du rapport d’expertise.</w:t>
      </w:r>
    </w:p>
    <w:p w:rsidR="007D258B" w:rsidRDefault="007D258B" w:rsidP="007D258B">
      <w:pPr>
        <w:tabs>
          <w:tab w:val="left" w:pos="-1440"/>
        </w:tabs>
        <w:snapToGrid w:val="0"/>
        <w:jc w:val="both"/>
        <w:rPr>
          <w:rFonts w:cs="Times New Roman"/>
          <w:bCs/>
          <w:lang w:val="fr-FR"/>
        </w:rPr>
      </w:pPr>
    </w:p>
    <w:p w:rsidR="007D258B" w:rsidRPr="005633F5" w:rsidRDefault="007D258B" w:rsidP="007D258B">
      <w:pPr>
        <w:tabs>
          <w:tab w:val="left" w:pos="-1440"/>
        </w:tabs>
        <w:snapToGrid w:val="0"/>
        <w:jc w:val="both"/>
        <w:rPr>
          <w:rFonts w:cs="Times New Roman"/>
          <w:bCs/>
          <w:lang w:val="fr-FR"/>
        </w:rPr>
      </w:pPr>
      <w:r>
        <w:rPr>
          <w:rFonts w:cs="Times New Roman"/>
          <w:bCs/>
          <w:lang w:val="fr-FR"/>
        </w:rPr>
        <w:t xml:space="preserve">Dès lors, elle </w:t>
      </w:r>
      <w:r w:rsidRPr="005633F5">
        <w:rPr>
          <w:rFonts w:cs="Times New Roman"/>
          <w:bCs/>
          <w:lang w:val="fr-FR"/>
        </w:rPr>
        <w:t>propose de fixer le taux</w:t>
      </w:r>
      <w:r>
        <w:rPr>
          <w:rFonts w:cs="Times New Roman"/>
          <w:bCs/>
          <w:lang w:val="fr-FR"/>
        </w:rPr>
        <w:t xml:space="preserve"> des facteurs économiques et sociaux à 1 %.</w:t>
      </w:r>
    </w:p>
    <w:p w:rsidR="007D258B" w:rsidRPr="005633F5" w:rsidRDefault="007D258B" w:rsidP="007D258B">
      <w:pPr>
        <w:tabs>
          <w:tab w:val="left" w:pos="-1440"/>
        </w:tabs>
        <w:snapToGrid w:val="0"/>
        <w:jc w:val="both"/>
        <w:rPr>
          <w:rFonts w:cs="Times New Roman"/>
          <w:bCs/>
          <w:lang w:val="fr-FR"/>
        </w:rPr>
      </w:pPr>
    </w:p>
    <w:p w:rsidR="007D258B" w:rsidRPr="005633F5" w:rsidRDefault="007D258B" w:rsidP="007D258B">
      <w:pPr>
        <w:tabs>
          <w:tab w:val="left" w:pos="-1440"/>
        </w:tabs>
        <w:snapToGrid w:val="0"/>
        <w:jc w:val="both"/>
        <w:rPr>
          <w:rFonts w:cs="Times New Roman"/>
          <w:bCs/>
          <w:lang w:val="fr-FR"/>
        </w:rPr>
      </w:pPr>
      <w:r w:rsidRPr="005633F5">
        <w:rPr>
          <w:rFonts w:cs="Times New Roman"/>
          <w:bCs/>
          <w:lang w:val="fr-FR"/>
        </w:rPr>
        <w:t>Elle précise la date de prise de cours des intérêts.</w:t>
      </w:r>
    </w:p>
    <w:p w:rsidR="007D258B" w:rsidRPr="005633F5" w:rsidRDefault="007D258B" w:rsidP="007D258B">
      <w:pPr>
        <w:tabs>
          <w:tab w:val="left" w:pos="-1440"/>
        </w:tabs>
        <w:snapToGrid w:val="0"/>
        <w:jc w:val="both"/>
        <w:rPr>
          <w:rFonts w:cs="Times New Roman"/>
          <w:b/>
          <w:bCs/>
          <w:lang w:val="fr-FR"/>
        </w:rPr>
      </w:pPr>
    </w:p>
    <w:p w:rsidR="007D258B" w:rsidRDefault="007D258B" w:rsidP="007D258B">
      <w:pPr>
        <w:tabs>
          <w:tab w:val="left" w:pos="-1440"/>
        </w:tabs>
        <w:snapToGrid w:val="0"/>
        <w:jc w:val="both"/>
        <w:rPr>
          <w:rFonts w:cs="Times New Roman"/>
          <w:bCs/>
          <w:lang w:val="fr-FR"/>
        </w:rPr>
      </w:pPr>
      <w:r w:rsidRPr="005633F5">
        <w:rPr>
          <w:rFonts w:cs="Times New Roman"/>
          <w:bCs/>
          <w:lang w:val="fr-FR"/>
        </w:rPr>
        <w:t>Elle indique le salaire de base à prendre en considération.</w:t>
      </w:r>
    </w:p>
    <w:p w:rsidR="007D258B" w:rsidRPr="006755A6" w:rsidRDefault="007D258B" w:rsidP="007D258B">
      <w:pPr>
        <w:tabs>
          <w:tab w:val="left" w:pos="-1440"/>
        </w:tabs>
        <w:snapToGrid w:val="0"/>
        <w:jc w:val="both"/>
        <w:rPr>
          <w:rFonts w:cs="Times New Roman"/>
          <w:bCs/>
          <w:lang w:val="fr-FR"/>
        </w:rPr>
      </w:pPr>
    </w:p>
    <w:p w:rsidR="007D258B" w:rsidRPr="006755A6" w:rsidRDefault="007D258B" w:rsidP="007D258B">
      <w:pPr>
        <w:tabs>
          <w:tab w:val="left" w:pos="-1440"/>
        </w:tabs>
        <w:snapToGrid w:val="0"/>
        <w:jc w:val="both"/>
        <w:rPr>
          <w:rFonts w:cs="Times New Roman"/>
          <w:b/>
          <w:bCs/>
          <w:u w:val="single"/>
          <w:lang w:val="fr-FR"/>
        </w:rPr>
      </w:pPr>
    </w:p>
    <w:p w:rsidR="007D258B" w:rsidRPr="00292B1A" w:rsidRDefault="007D258B" w:rsidP="007D258B">
      <w:pPr>
        <w:numPr>
          <w:ilvl w:val="0"/>
          <w:numId w:val="2"/>
        </w:numPr>
        <w:tabs>
          <w:tab w:val="left" w:pos="-1440"/>
        </w:tabs>
        <w:snapToGrid w:val="0"/>
        <w:jc w:val="both"/>
        <w:rPr>
          <w:rFonts w:cs="Times New Roman"/>
          <w:b/>
          <w:bCs/>
          <w:u w:val="single"/>
        </w:rPr>
      </w:pPr>
      <w:r w:rsidRPr="00292B1A">
        <w:rPr>
          <w:rFonts w:cs="Times New Roman"/>
          <w:b/>
          <w:bCs/>
          <w:u w:val="single"/>
        </w:rPr>
        <w:t>RAPPORT D’EXPERTISE</w:t>
      </w:r>
      <w:r w:rsidRPr="00292B1A">
        <w:rPr>
          <w:rFonts w:cs="Times New Roman"/>
          <w:b/>
          <w:bCs/>
        </w:rPr>
        <w:t> :</w:t>
      </w:r>
    </w:p>
    <w:p w:rsidR="007D258B" w:rsidRPr="00D372F2" w:rsidRDefault="007D258B" w:rsidP="007D258B">
      <w:pPr>
        <w:tabs>
          <w:tab w:val="left" w:pos="-1440"/>
        </w:tabs>
        <w:snapToGrid w:val="0"/>
        <w:ind w:left="1080"/>
        <w:jc w:val="both"/>
        <w:rPr>
          <w:rFonts w:cs="Times New Roman"/>
          <w:b/>
          <w:bCs/>
          <w:highlight w:val="yellow"/>
          <w:u w:val="single"/>
        </w:rPr>
      </w:pPr>
    </w:p>
    <w:p w:rsidR="007D258B" w:rsidRDefault="007D258B" w:rsidP="007D258B">
      <w:pPr>
        <w:autoSpaceDE w:val="0"/>
        <w:adjustRightInd w:val="0"/>
        <w:rPr>
          <w:rFonts w:cs="Times New Roman"/>
          <w:lang w:val="fr-FR"/>
        </w:rPr>
      </w:pPr>
      <w:r w:rsidRPr="005C7EE9">
        <w:rPr>
          <w:rFonts w:cs="Times New Roman"/>
          <w:lang w:val="fr-FR"/>
        </w:rPr>
        <w:t>Celui-ci conclut : « (…)</w:t>
      </w:r>
    </w:p>
    <w:p w:rsidR="007D258B" w:rsidRDefault="007D258B" w:rsidP="007D258B">
      <w:pPr>
        <w:autoSpaceDE w:val="0"/>
        <w:adjustRightInd w:val="0"/>
        <w:rPr>
          <w:rFonts w:cs="Times New Roman"/>
          <w:lang w:val="fr-FR"/>
        </w:rPr>
      </w:pPr>
    </w:p>
    <w:p w:rsidR="00D121F6" w:rsidRPr="00C87B74" w:rsidRDefault="00D121F6" w:rsidP="007D258B">
      <w:pPr>
        <w:autoSpaceDE w:val="0"/>
        <w:adjustRightInd w:val="0"/>
        <w:rPr>
          <w:i/>
        </w:rPr>
      </w:pPr>
      <w:r w:rsidRPr="00C87B74">
        <w:rPr>
          <w:i/>
        </w:rPr>
        <w:t xml:space="preserve">1. </w:t>
      </w:r>
      <w:r w:rsidRPr="00C87B74">
        <w:rPr>
          <w:b/>
          <w:i/>
        </w:rPr>
        <w:t xml:space="preserve">L'affection dont Mr </w:t>
      </w:r>
      <w:r w:rsidR="00014E4B">
        <w:rPr>
          <w:b/>
          <w:i/>
        </w:rPr>
        <w:t>T.</w:t>
      </w:r>
      <w:r w:rsidRPr="00C87B74">
        <w:rPr>
          <w:b/>
          <w:i/>
        </w:rPr>
        <w:t xml:space="preserve">  se plaint rentre dans la définition reprise sous le code 1.606.22</w:t>
      </w:r>
      <w:r w:rsidRPr="00C87B74">
        <w:rPr>
          <w:i/>
        </w:rPr>
        <w:t xml:space="preserve"> (maladie figurant sur la liste des maladies professionnelles prise en vertu de l'article 30 des lois coordonnées). </w:t>
      </w:r>
    </w:p>
    <w:p w:rsidR="00D121F6" w:rsidRPr="00C87B74" w:rsidRDefault="00D121F6" w:rsidP="007D258B">
      <w:pPr>
        <w:autoSpaceDE w:val="0"/>
        <w:adjustRightInd w:val="0"/>
        <w:rPr>
          <w:i/>
        </w:rPr>
      </w:pPr>
    </w:p>
    <w:p w:rsidR="00D121F6" w:rsidRPr="00C87B74" w:rsidRDefault="00D121F6" w:rsidP="007D258B">
      <w:pPr>
        <w:autoSpaceDE w:val="0"/>
        <w:adjustRightInd w:val="0"/>
        <w:rPr>
          <w:i/>
        </w:rPr>
      </w:pPr>
      <w:r w:rsidRPr="00C87B74">
        <w:rPr>
          <w:i/>
        </w:rPr>
        <w:t xml:space="preserve">2. Mr </w:t>
      </w:r>
      <w:r w:rsidR="00014E4B">
        <w:rPr>
          <w:i/>
        </w:rPr>
        <w:t>T.</w:t>
      </w:r>
      <w:r w:rsidRPr="00C87B74">
        <w:rPr>
          <w:i/>
        </w:rPr>
        <w:t xml:space="preserve">  </w:t>
      </w:r>
      <w:r w:rsidRPr="00C87B74">
        <w:rPr>
          <w:b/>
          <w:i/>
        </w:rPr>
        <w:t>a été exposé</w:t>
      </w:r>
      <w:r w:rsidRPr="00C87B74">
        <w:rPr>
          <w:i/>
        </w:rPr>
        <w:t xml:space="preserve"> au risque de la dite maladie professionnelle. </w:t>
      </w:r>
    </w:p>
    <w:p w:rsidR="00D121F6" w:rsidRPr="00C87B74" w:rsidRDefault="00D121F6" w:rsidP="007D258B">
      <w:pPr>
        <w:autoSpaceDE w:val="0"/>
        <w:adjustRightInd w:val="0"/>
        <w:rPr>
          <w:i/>
        </w:rPr>
      </w:pPr>
    </w:p>
    <w:p w:rsidR="00D121F6" w:rsidRPr="00C87B74" w:rsidRDefault="00D121F6" w:rsidP="007D258B">
      <w:pPr>
        <w:autoSpaceDE w:val="0"/>
        <w:adjustRightInd w:val="0"/>
        <w:rPr>
          <w:i/>
        </w:rPr>
      </w:pPr>
      <w:r w:rsidRPr="00C87B74">
        <w:rPr>
          <w:i/>
        </w:rPr>
        <w:t xml:space="preserve">3. En conséquence de cette pathologie tendineuse, Monsieur </w:t>
      </w:r>
      <w:r w:rsidR="00014E4B">
        <w:rPr>
          <w:i/>
        </w:rPr>
        <w:t>T.</w:t>
      </w:r>
      <w:r w:rsidRPr="00C87B74">
        <w:rPr>
          <w:i/>
        </w:rPr>
        <w:t xml:space="preserve">  est atteint </w:t>
      </w:r>
      <w:r w:rsidRPr="00C87B74">
        <w:rPr>
          <w:b/>
          <w:i/>
        </w:rPr>
        <w:t>d'une incapacité de travail depuis le 03/07/2017</w:t>
      </w:r>
      <w:r w:rsidRPr="00C87B74">
        <w:rPr>
          <w:i/>
        </w:rPr>
        <w:t xml:space="preserve">. </w:t>
      </w:r>
    </w:p>
    <w:p w:rsidR="00D121F6" w:rsidRPr="00C87B74" w:rsidRDefault="00D121F6" w:rsidP="007D258B">
      <w:pPr>
        <w:autoSpaceDE w:val="0"/>
        <w:adjustRightInd w:val="0"/>
        <w:rPr>
          <w:b/>
          <w:i/>
        </w:rPr>
      </w:pPr>
      <w:r w:rsidRPr="00C87B74">
        <w:rPr>
          <w:b/>
          <w:i/>
        </w:rPr>
        <w:t>Du 03/07/2017 au 02/05/201</w:t>
      </w:r>
      <w:r w:rsidR="00C87B74">
        <w:rPr>
          <w:b/>
          <w:i/>
        </w:rPr>
        <w:t xml:space="preserve"> </w:t>
      </w:r>
      <w:r w:rsidR="00C87B74" w:rsidRPr="00C87B74">
        <w:rPr>
          <w:i/>
        </w:rPr>
        <w:t>(lire 2018)</w:t>
      </w:r>
      <w:r w:rsidRPr="00C87B74">
        <w:rPr>
          <w:i/>
        </w:rPr>
        <w:t>,</w:t>
      </w:r>
      <w:r w:rsidRPr="00C87B74">
        <w:rPr>
          <w:b/>
          <w:i/>
        </w:rPr>
        <w:t xml:space="preserve"> le taux était de 6 %. </w:t>
      </w:r>
    </w:p>
    <w:p w:rsidR="00D121F6" w:rsidRPr="00C87B74" w:rsidRDefault="00D121F6" w:rsidP="007D258B">
      <w:pPr>
        <w:autoSpaceDE w:val="0"/>
        <w:adjustRightInd w:val="0"/>
        <w:rPr>
          <w:i/>
        </w:rPr>
      </w:pPr>
      <w:r w:rsidRPr="00C87B74">
        <w:rPr>
          <w:b/>
          <w:i/>
        </w:rPr>
        <w:t>Du 03/05/2018 au 04/12/2018</w:t>
      </w:r>
      <w:r w:rsidRPr="00C87B74">
        <w:rPr>
          <w:i/>
        </w:rPr>
        <w:t xml:space="preserve">, cette </w:t>
      </w:r>
      <w:r w:rsidRPr="00C87B74">
        <w:rPr>
          <w:b/>
          <w:i/>
        </w:rPr>
        <w:t>incapacité temporaire</w:t>
      </w:r>
      <w:r w:rsidRPr="00C87B74">
        <w:rPr>
          <w:i/>
        </w:rPr>
        <w:t xml:space="preserve"> a été </w:t>
      </w:r>
      <w:r w:rsidRPr="00C87B74">
        <w:rPr>
          <w:b/>
          <w:i/>
        </w:rPr>
        <w:t>totale</w:t>
      </w:r>
      <w:r w:rsidRPr="00C87B74">
        <w:rPr>
          <w:i/>
        </w:rPr>
        <w:t xml:space="preserve">, en raison de l'intervention chirurgicale dont le patient a bénéficié. </w:t>
      </w:r>
    </w:p>
    <w:p w:rsidR="00D121F6" w:rsidRPr="00C87B74" w:rsidRDefault="00D121F6" w:rsidP="007D258B">
      <w:pPr>
        <w:autoSpaceDE w:val="0"/>
        <w:adjustRightInd w:val="0"/>
        <w:rPr>
          <w:i/>
        </w:rPr>
      </w:pPr>
    </w:p>
    <w:p w:rsidR="007D258B" w:rsidRDefault="00D121F6" w:rsidP="007D258B">
      <w:pPr>
        <w:autoSpaceDE w:val="0"/>
        <w:adjustRightInd w:val="0"/>
        <w:rPr>
          <w:rFonts w:cs="Times New Roman"/>
          <w:i/>
          <w:lang w:val="fr-FR"/>
        </w:rPr>
      </w:pPr>
      <w:r w:rsidRPr="00C87B74">
        <w:rPr>
          <w:i/>
        </w:rPr>
        <w:t xml:space="preserve">4. Du point de vue médical, </w:t>
      </w:r>
      <w:r w:rsidRPr="00C87B74">
        <w:rPr>
          <w:b/>
          <w:i/>
        </w:rPr>
        <w:t xml:space="preserve">l'incapacité permanente de travail est évaluée </w:t>
      </w:r>
      <w:r w:rsidR="00F5761F">
        <w:rPr>
          <w:b/>
          <w:i/>
        </w:rPr>
        <w:t>à</w:t>
      </w:r>
      <w:r w:rsidRPr="00C87B74">
        <w:rPr>
          <w:b/>
          <w:i/>
        </w:rPr>
        <w:t xml:space="preserve"> 5 % </w:t>
      </w:r>
      <w:r w:rsidR="00F5761F">
        <w:rPr>
          <w:b/>
          <w:i/>
        </w:rPr>
        <w:t>à</w:t>
      </w:r>
      <w:r w:rsidRPr="00C87B74">
        <w:rPr>
          <w:b/>
          <w:i/>
        </w:rPr>
        <w:t xml:space="preserve"> dater du 05/12/2018.</w:t>
      </w:r>
      <w:r>
        <w:t xml:space="preserve"> </w:t>
      </w:r>
      <w:r w:rsidR="007D258B" w:rsidRPr="00E17568">
        <w:rPr>
          <w:rFonts w:cs="Times New Roman"/>
          <w:i/>
          <w:lang w:val="fr-FR"/>
        </w:rPr>
        <w:t>(…) »</w:t>
      </w:r>
    </w:p>
    <w:p w:rsidR="00CE0C57" w:rsidRDefault="00CE0C57" w:rsidP="007D258B">
      <w:pPr>
        <w:autoSpaceDE w:val="0"/>
        <w:adjustRightInd w:val="0"/>
        <w:rPr>
          <w:rFonts w:cs="Times New Roman"/>
          <w:i/>
          <w:lang w:val="fr-FR"/>
        </w:rPr>
      </w:pPr>
    </w:p>
    <w:p w:rsidR="007D258B" w:rsidRDefault="007D258B" w:rsidP="007D258B">
      <w:pPr>
        <w:pStyle w:val="Paragraphedeliste"/>
        <w:numPr>
          <w:ilvl w:val="0"/>
          <w:numId w:val="2"/>
        </w:numPr>
        <w:tabs>
          <w:tab w:val="left" w:pos="-1440"/>
        </w:tabs>
        <w:snapToGrid w:val="0"/>
        <w:jc w:val="both"/>
        <w:rPr>
          <w:rFonts w:cs="Times New Roman"/>
          <w:b/>
          <w:lang w:val="fr-FR"/>
        </w:rPr>
      </w:pPr>
      <w:r w:rsidRPr="002A58D3">
        <w:rPr>
          <w:rFonts w:cs="Times New Roman"/>
          <w:b/>
          <w:u w:val="single"/>
          <w:lang w:val="fr-FR"/>
        </w:rPr>
        <w:lastRenderedPageBreak/>
        <w:t>DECISION</w:t>
      </w:r>
      <w:r>
        <w:rPr>
          <w:rFonts w:cs="Times New Roman"/>
          <w:b/>
          <w:lang w:val="fr-FR"/>
        </w:rPr>
        <w:t>.</w:t>
      </w:r>
    </w:p>
    <w:p w:rsidR="007D258B" w:rsidRDefault="007D258B" w:rsidP="007D258B">
      <w:pPr>
        <w:tabs>
          <w:tab w:val="left" w:pos="-1440"/>
        </w:tabs>
        <w:snapToGrid w:val="0"/>
        <w:jc w:val="both"/>
        <w:rPr>
          <w:rFonts w:cs="Times New Roman"/>
          <w:bCs/>
        </w:rPr>
      </w:pPr>
    </w:p>
    <w:p w:rsidR="00215EF6" w:rsidRPr="00E33D42" w:rsidRDefault="00215EF6" w:rsidP="007D258B">
      <w:pPr>
        <w:tabs>
          <w:tab w:val="left" w:pos="-1440"/>
        </w:tabs>
        <w:snapToGrid w:val="0"/>
        <w:jc w:val="both"/>
        <w:rPr>
          <w:rFonts w:cs="Times New Roman"/>
          <w:bCs/>
        </w:rPr>
      </w:pPr>
    </w:p>
    <w:p w:rsidR="007D258B" w:rsidRPr="00B4732A" w:rsidRDefault="007D258B" w:rsidP="007D258B">
      <w:pPr>
        <w:pStyle w:val="Paragraphedeliste"/>
        <w:numPr>
          <w:ilvl w:val="0"/>
          <w:numId w:val="16"/>
        </w:numPr>
        <w:tabs>
          <w:tab w:val="left" w:pos="-1440"/>
        </w:tabs>
        <w:snapToGrid w:val="0"/>
        <w:jc w:val="both"/>
        <w:rPr>
          <w:rFonts w:cs="Times New Roman"/>
          <w:b/>
          <w:bCs/>
        </w:rPr>
      </w:pPr>
      <w:r w:rsidRPr="00B4732A">
        <w:rPr>
          <w:rFonts w:cs="Times New Roman"/>
          <w:b/>
          <w:bCs/>
        </w:rPr>
        <w:t>Entérinement.</w:t>
      </w:r>
    </w:p>
    <w:p w:rsidR="007D258B" w:rsidRPr="00F02D23" w:rsidRDefault="007D258B" w:rsidP="007D258B">
      <w:pPr>
        <w:tabs>
          <w:tab w:val="left" w:pos="-1440"/>
        </w:tabs>
        <w:snapToGrid w:val="0"/>
        <w:jc w:val="both"/>
        <w:rPr>
          <w:rFonts w:cs="Times New Roman"/>
          <w:b/>
          <w:bCs/>
        </w:rPr>
      </w:pPr>
    </w:p>
    <w:p w:rsidR="007D258B" w:rsidRDefault="007D258B" w:rsidP="007D258B">
      <w:pPr>
        <w:tabs>
          <w:tab w:val="left" w:pos="-1440"/>
        </w:tabs>
        <w:snapToGrid w:val="0"/>
        <w:jc w:val="both"/>
        <w:rPr>
          <w:rFonts w:cs="Times New Roman"/>
          <w:lang w:val="fr-FR"/>
        </w:rPr>
      </w:pPr>
      <w:r w:rsidRPr="006755A6">
        <w:rPr>
          <w:rFonts w:cs="Times New Roman"/>
          <w:lang w:val="fr-FR"/>
        </w:rPr>
        <w:t>Il y a lieu de constater que l’expert judiciaire a répondu à la mission lui confiée et aux observations des médecins conseils au cours de l’expertise.</w:t>
      </w:r>
    </w:p>
    <w:p w:rsidR="007D258B" w:rsidRDefault="007D258B" w:rsidP="007D258B">
      <w:pPr>
        <w:tabs>
          <w:tab w:val="left" w:pos="-1440"/>
        </w:tabs>
        <w:snapToGrid w:val="0"/>
        <w:jc w:val="both"/>
        <w:rPr>
          <w:rFonts w:cs="Times New Roman"/>
          <w:lang w:val="fr-FR"/>
        </w:rPr>
      </w:pPr>
    </w:p>
    <w:p w:rsidR="007D258B" w:rsidRDefault="007D258B" w:rsidP="007D258B">
      <w:pPr>
        <w:tabs>
          <w:tab w:val="left" w:pos="-1440"/>
        </w:tabs>
        <w:snapToGrid w:val="0"/>
        <w:jc w:val="both"/>
        <w:rPr>
          <w:rFonts w:cs="Times New Roman"/>
          <w:lang w:val="fr-FR"/>
        </w:rPr>
      </w:pPr>
      <w:r>
        <w:rPr>
          <w:rFonts w:cs="Times New Roman"/>
          <w:lang w:val="fr-FR"/>
        </w:rPr>
        <w:t>L</w:t>
      </w:r>
      <w:r w:rsidRPr="006755A6">
        <w:rPr>
          <w:rFonts w:cs="Times New Roman"/>
          <w:lang w:val="fr-FR"/>
        </w:rPr>
        <w:t>e tribunal considère qu’il y a lieu d’entériner le rapport de l’expert, qui est clair, précis et circonstancié.</w:t>
      </w:r>
    </w:p>
    <w:p w:rsidR="007D258B" w:rsidRDefault="007D258B" w:rsidP="007D258B">
      <w:pPr>
        <w:tabs>
          <w:tab w:val="left" w:pos="-1440"/>
        </w:tabs>
        <w:snapToGrid w:val="0"/>
        <w:jc w:val="both"/>
        <w:rPr>
          <w:rFonts w:cs="Times New Roman"/>
          <w:lang w:val="fr-FR"/>
        </w:rPr>
      </w:pPr>
    </w:p>
    <w:p w:rsidR="007D258B" w:rsidRDefault="007D258B" w:rsidP="007D258B">
      <w:pPr>
        <w:tabs>
          <w:tab w:val="left" w:pos="-1440"/>
        </w:tabs>
        <w:snapToGrid w:val="0"/>
        <w:jc w:val="both"/>
        <w:rPr>
          <w:rFonts w:cs="Times New Roman"/>
          <w:iCs/>
          <w:lang w:val="fr-FR"/>
        </w:rPr>
      </w:pPr>
    </w:p>
    <w:p w:rsidR="007D258B" w:rsidRDefault="007D258B" w:rsidP="007D258B">
      <w:pPr>
        <w:pStyle w:val="Paragraphedeliste"/>
        <w:numPr>
          <w:ilvl w:val="0"/>
          <w:numId w:val="16"/>
        </w:numPr>
        <w:tabs>
          <w:tab w:val="left" w:pos="-1440"/>
        </w:tabs>
        <w:snapToGrid w:val="0"/>
        <w:jc w:val="both"/>
        <w:rPr>
          <w:rFonts w:cs="Times New Roman"/>
          <w:b/>
          <w:iCs/>
          <w:lang w:val="fr-FR"/>
        </w:rPr>
      </w:pPr>
      <w:r>
        <w:rPr>
          <w:rFonts w:cs="Times New Roman"/>
          <w:b/>
          <w:iCs/>
          <w:lang w:val="fr-FR"/>
        </w:rPr>
        <w:t>La notion d’incapacité permanente partielle.</w:t>
      </w:r>
    </w:p>
    <w:p w:rsidR="007D258B" w:rsidRDefault="007D258B" w:rsidP="007D258B">
      <w:pPr>
        <w:tabs>
          <w:tab w:val="left" w:pos="-1440"/>
        </w:tabs>
        <w:snapToGrid w:val="0"/>
        <w:jc w:val="both"/>
        <w:rPr>
          <w:rFonts w:cs="Times New Roman"/>
          <w:b/>
          <w:iCs/>
          <w:lang w:val="fr-FR"/>
        </w:rPr>
      </w:pPr>
    </w:p>
    <w:p w:rsidR="007D258B" w:rsidRPr="00CF0543" w:rsidRDefault="007D258B" w:rsidP="007D258B">
      <w:pPr>
        <w:tabs>
          <w:tab w:val="left" w:pos="1985"/>
        </w:tabs>
        <w:jc w:val="both"/>
        <w:rPr>
          <w:rFonts w:cs="Times New Roman"/>
        </w:rPr>
      </w:pPr>
      <w:r w:rsidRPr="00CF0543">
        <w:rPr>
          <w:rFonts w:cs="Times New Roman"/>
        </w:rPr>
        <w:t xml:space="preserve">L’évaluation doit porter sur la perte de capacité concurrentielle sur le marché de l’emploi par rapport à des travailleurs de la même catégorie d’âge et de formation équivalente. </w:t>
      </w:r>
    </w:p>
    <w:p w:rsidR="007D258B" w:rsidRPr="00CF0543" w:rsidRDefault="007D258B" w:rsidP="007D258B">
      <w:pPr>
        <w:tabs>
          <w:tab w:val="left" w:pos="1985"/>
        </w:tabs>
        <w:jc w:val="both"/>
        <w:rPr>
          <w:rFonts w:cs="Times New Roman"/>
        </w:rPr>
      </w:pPr>
    </w:p>
    <w:p w:rsidR="007D258B" w:rsidRPr="00CF0543" w:rsidRDefault="007D258B" w:rsidP="007D258B">
      <w:pPr>
        <w:tabs>
          <w:tab w:val="left" w:pos="1985"/>
        </w:tabs>
        <w:jc w:val="both"/>
        <w:rPr>
          <w:rFonts w:cs="Times New Roman"/>
        </w:rPr>
      </w:pPr>
      <w:r>
        <w:rPr>
          <w:rFonts w:cs="Times New Roman"/>
        </w:rPr>
        <w:t>Pour rappel, c</w:t>
      </w:r>
      <w:r w:rsidRPr="00CF0543">
        <w:rPr>
          <w:rFonts w:cs="Times New Roman"/>
        </w:rPr>
        <w:t>ette perte de capacité concurrentielle peut se traduire de différentes manières : par une perte de productivité dans les postes de travail que la victime occupait auparavant ou par une plus grande pénibilité à effectuer ses activités antérieures ou encore par une réduction de ses chances d’obtenir un emploi lorsque la victime est en concurrence avec un travailleur de la même catégorie d’âge et de formation équivalente mais exempt d’incapacité.</w:t>
      </w:r>
    </w:p>
    <w:p w:rsidR="007D258B" w:rsidRPr="00CF0543" w:rsidRDefault="007D258B" w:rsidP="007D258B">
      <w:pPr>
        <w:tabs>
          <w:tab w:val="left" w:pos="1985"/>
        </w:tabs>
        <w:jc w:val="both"/>
        <w:rPr>
          <w:rFonts w:cs="Times New Roman"/>
        </w:rPr>
      </w:pPr>
    </w:p>
    <w:p w:rsidR="007D258B" w:rsidRPr="00CF0543" w:rsidRDefault="007D258B" w:rsidP="007D258B">
      <w:pPr>
        <w:tabs>
          <w:tab w:val="left" w:pos="1985"/>
        </w:tabs>
        <w:jc w:val="both"/>
        <w:rPr>
          <w:rFonts w:cs="Times New Roman"/>
        </w:rPr>
      </w:pPr>
      <w:r>
        <w:rPr>
          <w:rFonts w:cs="Times New Roman"/>
        </w:rPr>
        <w:t>En conclusion, l</w:t>
      </w:r>
      <w:r w:rsidRPr="00CF0543">
        <w:rPr>
          <w:rFonts w:cs="Times New Roman"/>
        </w:rPr>
        <w:t>e point de comparaison à prendre en compte est le marché général du travail du travailleur, soit l’ensemble des métiers qu’il demeure apte à exercer de manière régulière et non le seul métier qu’il exerçait au moment de la fixation de l’incapacité permanente de travail</w:t>
      </w:r>
      <w:r w:rsidRPr="00DB70FC">
        <w:rPr>
          <w:rStyle w:val="Appelnotedebasdep"/>
          <w:rFonts w:cs="Times New Roman"/>
          <w:vertAlign w:val="superscript"/>
        </w:rPr>
        <w:footnoteReference w:id="1"/>
      </w:r>
      <w:r w:rsidRPr="00CF0543">
        <w:rPr>
          <w:rFonts w:cs="Times New Roman"/>
        </w:rPr>
        <w:t>.</w:t>
      </w:r>
    </w:p>
    <w:p w:rsidR="007D258B" w:rsidRPr="00B41701" w:rsidRDefault="007D258B" w:rsidP="007D258B">
      <w:pPr>
        <w:tabs>
          <w:tab w:val="left" w:pos="-1440"/>
        </w:tabs>
        <w:snapToGrid w:val="0"/>
        <w:jc w:val="both"/>
        <w:rPr>
          <w:rFonts w:cs="Times New Roman"/>
          <w:iCs/>
          <w:lang w:val="fr-FR"/>
        </w:rPr>
      </w:pPr>
    </w:p>
    <w:p w:rsidR="007D258B" w:rsidRPr="00B41701" w:rsidRDefault="007D258B" w:rsidP="007D258B">
      <w:pPr>
        <w:tabs>
          <w:tab w:val="left" w:pos="-1440"/>
        </w:tabs>
        <w:snapToGrid w:val="0"/>
        <w:jc w:val="both"/>
        <w:rPr>
          <w:rFonts w:cs="Times New Roman"/>
          <w:b/>
          <w:iCs/>
          <w:lang w:val="fr-FR"/>
        </w:rPr>
      </w:pPr>
    </w:p>
    <w:p w:rsidR="007D258B" w:rsidRPr="00B4732A" w:rsidRDefault="007D258B" w:rsidP="007D258B">
      <w:pPr>
        <w:pStyle w:val="Paragraphedeliste"/>
        <w:numPr>
          <w:ilvl w:val="0"/>
          <w:numId w:val="16"/>
        </w:numPr>
        <w:tabs>
          <w:tab w:val="left" w:pos="-1440"/>
        </w:tabs>
        <w:snapToGrid w:val="0"/>
        <w:jc w:val="both"/>
        <w:rPr>
          <w:rFonts w:cs="Times New Roman"/>
          <w:b/>
          <w:iCs/>
          <w:lang w:val="fr-FR"/>
        </w:rPr>
      </w:pPr>
      <w:r w:rsidRPr="00B4732A">
        <w:rPr>
          <w:rFonts w:cs="Times New Roman"/>
          <w:b/>
          <w:iCs/>
          <w:lang w:val="fr-FR"/>
        </w:rPr>
        <w:t>Quant aux facteurs économiques et sociaux.</w:t>
      </w:r>
    </w:p>
    <w:p w:rsidR="007D258B" w:rsidRPr="006755A6" w:rsidRDefault="007D258B" w:rsidP="007D258B">
      <w:pPr>
        <w:tabs>
          <w:tab w:val="left" w:pos="-1440"/>
        </w:tabs>
        <w:snapToGrid w:val="0"/>
        <w:jc w:val="both"/>
        <w:rPr>
          <w:rFonts w:cs="Times New Roman"/>
          <w:lang w:val="fr-FR"/>
        </w:rPr>
      </w:pPr>
    </w:p>
    <w:p w:rsidR="007D258B" w:rsidRDefault="007D258B" w:rsidP="007D258B">
      <w:pPr>
        <w:pStyle w:val="Paragraphedeliste"/>
        <w:numPr>
          <w:ilvl w:val="0"/>
          <w:numId w:val="21"/>
        </w:numPr>
        <w:tabs>
          <w:tab w:val="left" w:pos="-1440"/>
        </w:tabs>
        <w:snapToGrid w:val="0"/>
        <w:jc w:val="both"/>
        <w:rPr>
          <w:rFonts w:cs="Times New Roman"/>
          <w:i/>
          <w:lang w:val="fr-FR"/>
        </w:rPr>
      </w:pPr>
      <w:r>
        <w:rPr>
          <w:rFonts w:cs="Times New Roman"/>
          <w:i/>
          <w:lang w:val="fr-FR"/>
        </w:rPr>
        <w:t>La jurisprudence.</w:t>
      </w:r>
    </w:p>
    <w:p w:rsidR="007D258B" w:rsidRDefault="007D258B" w:rsidP="007D258B">
      <w:pPr>
        <w:tabs>
          <w:tab w:val="left" w:pos="-1440"/>
        </w:tabs>
        <w:snapToGrid w:val="0"/>
        <w:jc w:val="both"/>
        <w:rPr>
          <w:rFonts w:cs="Times New Roman"/>
          <w:i/>
          <w:lang w:val="fr-FR"/>
        </w:rPr>
      </w:pPr>
    </w:p>
    <w:p w:rsidR="007D258B" w:rsidRPr="00C85D84" w:rsidRDefault="007D258B" w:rsidP="007D258B">
      <w:pPr>
        <w:tabs>
          <w:tab w:val="left" w:pos="1985"/>
        </w:tabs>
        <w:jc w:val="both"/>
        <w:rPr>
          <w:rFonts w:cs="Times New Roman"/>
        </w:rPr>
      </w:pPr>
      <w:r w:rsidRPr="00C85D84">
        <w:rPr>
          <w:rFonts w:cs="Times New Roman"/>
        </w:rPr>
        <w:t>La Cour de cassation retrace comme suit les principes qui doivent guider l’évaluation de</w:t>
      </w:r>
      <w:r w:rsidRPr="00A849BD">
        <w:rPr>
          <w:rFonts w:ascii="Calibri" w:hAnsi="Calibri" w:cs="Calibri"/>
        </w:rPr>
        <w:t xml:space="preserve"> </w:t>
      </w:r>
      <w:r w:rsidRPr="00C85D84">
        <w:rPr>
          <w:rFonts w:cs="Times New Roman"/>
        </w:rPr>
        <w:t>l’incapacité permanente de travail du travailleur atteint d’une maladie professionnelle :</w:t>
      </w:r>
      <w:r>
        <w:rPr>
          <w:rFonts w:cs="Times New Roman"/>
        </w:rPr>
        <w:t xml:space="preserve"> </w:t>
      </w:r>
    </w:p>
    <w:p w:rsidR="007D258B" w:rsidRPr="00530B82" w:rsidRDefault="007D258B" w:rsidP="007D258B">
      <w:pPr>
        <w:tabs>
          <w:tab w:val="left" w:pos="1985"/>
        </w:tabs>
        <w:jc w:val="both"/>
        <w:rPr>
          <w:rFonts w:cs="Times New Roman"/>
          <w:i/>
          <w:vertAlign w:val="superscript"/>
        </w:rPr>
      </w:pPr>
      <w:r w:rsidRPr="00C85D84">
        <w:rPr>
          <w:rFonts w:cs="Times New Roman"/>
          <w:i/>
        </w:rPr>
        <w:t>« L’étendue du dommage s’apprécie, non seulement en fonction de l’incapacité physiologique, mais aussi de l’âge, de la qualification professionnelle, des facultés d’adaptation, des possibilités de rééducation professionnelle et de la capacité de concurrence sur le marché de l’emploi, celle-ci étant elle-même déterminée par les possibilités dont la victime dispose encore, comparativement à d’autres travailleurs, d’exercer une activité salariée. »</w:t>
      </w:r>
      <w:r w:rsidRPr="00C85D84">
        <w:rPr>
          <w:rStyle w:val="Appelnotedebasdep"/>
          <w:rFonts w:cs="Times New Roman"/>
        </w:rPr>
        <w:t xml:space="preserve"> </w:t>
      </w:r>
      <w:r w:rsidRPr="00530B82">
        <w:rPr>
          <w:rStyle w:val="Appelnotedebasdep"/>
          <w:rFonts w:cs="Times New Roman"/>
          <w:vertAlign w:val="superscript"/>
        </w:rPr>
        <w:footnoteReference w:id="2"/>
      </w:r>
    </w:p>
    <w:p w:rsidR="007D258B" w:rsidRPr="00C85D84" w:rsidRDefault="007D258B" w:rsidP="007D258B">
      <w:pPr>
        <w:tabs>
          <w:tab w:val="left" w:pos="1985"/>
        </w:tabs>
        <w:jc w:val="both"/>
        <w:rPr>
          <w:rFonts w:cs="Times New Roman"/>
        </w:rPr>
      </w:pPr>
    </w:p>
    <w:p w:rsidR="007D258B" w:rsidRPr="00A849BD" w:rsidRDefault="007D258B" w:rsidP="007D258B">
      <w:pPr>
        <w:tabs>
          <w:tab w:val="left" w:pos="1985"/>
        </w:tabs>
        <w:jc w:val="both"/>
        <w:rPr>
          <w:rFonts w:ascii="Calibri" w:hAnsi="Calibri" w:cs="Calibri"/>
        </w:rPr>
      </w:pPr>
      <w:r w:rsidRPr="00C85D84">
        <w:rPr>
          <w:rFonts w:cs="Times New Roman"/>
        </w:rPr>
        <w:t xml:space="preserve">Il s’en déduit que </w:t>
      </w:r>
      <w:r w:rsidRPr="00C85D84">
        <w:rPr>
          <w:rFonts w:cs="Times New Roman"/>
          <w:i/>
        </w:rPr>
        <w:t>« ne méconnaît pas la notion d’incapacité permanente de travail, l’arrêt qui évalue le taux global d’incapacité en ajoutant au pourcentage d’incapacité purement physique un pourcentage représentant les autres facteurs qui déterminent la perte de valeur économique sur le marché général de l’emploi. »</w:t>
      </w:r>
      <w:r w:rsidRPr="00530B82">
        <w:rPr>
          <w:rStyle w:val="Appelnotedebasdep"/>
          <w:rFonts w:cs="Times New Roman"/>
          <w:vertAlign w:val="superscript"/>
        </w:rPr>
        <w:footnoteReference w:id="3"/>
      </w:r>
    </w:p>
    <w:p w:rsidR="007D258B" w:rsidRDefault="007D258B" w:rsidP="007D258B">
      <w:pPr>
        <w:tabs>
          <w:tab w:val="left" w:pos="-1440"/>
        </w:tabs>
        <w:snapToGrid w:val="0"/>
        <w:jc w:val="both"/>
        <w:rPr>
          <w:rFonts w:cs="Times New Roman"/>
          <w:lang w:val="fr-FR"/>
        </w:rPr>
      </w:pPr>
    </w:p>
    <w:p w:rsidR="007D258B" w:rsidRPr="00133003" w:rsidRDefault="007D258B" w:rsidP="007D258B">
      <w:pPr>
        <w:tabs>
          <w:tab w:val="left" w:pos="-1440"/>
        </w:tabs>
        <w:snapToGrid w:val="0"/>
        <w:jc w:val="both"/>
        <w:rPr>
          <w:rFonts w:cs="Times New Roman"/>
          <w:lang w:val="fr-FR"/>
        </w:rPr>
      </w:pPr>
      <w:r w:rsidRPr="0029469C">
        <w:rPr>
          <w:rFonts w:cs="Times New Roman"/>
          <w:lang w:val="fr-FR"/>
        </w:rPr>
        <w:t>La Cour de cassation a jugé</w:t>
      </w:r>
      <w:r>
        <w:rPr>
          <w:rFonts w:cs="Times New Roman"/>
          <w:lang w:val="fr-FR"/>
        </w:rPr>
        <w:t xml:space="preserve"> également</w:t>
      </w:r>
      <w:r w:rsidRPr="0029469C">
        <w:rPr>
          <w:rFonts w:cs="Times New Roman"/>
          <w:lang w:val="fr-FR"/>
        </w:rPr>
        <w:t xml:space="preserve"> que </w:t>
      </w:r>
      <w:r w:rsidRPr="0029469C">
        <w:rPr>
          <w:rFonts w:cs="Times New Roman"/>
          <w:i/>
          <w:iCs/>
          <w:lang w:val="fr-FR"/>
        </w:rPr>
        <w:t>« si la reconnaissance d’une incapacité permanente de travail qu’entraîne la maladie professionnelle, suppose, certes, l’existence d’une incapacité physiologique, le taux de cette dernière ne constitue toutefois pas nécessairement l’élément déterminant pour évaluer le degré d’incapacité permanente</w:t>
      </w:r>
      <w:r>
        <w:rPr>
          <w:rFonts w:cs="Times New Roman"/>
          <w:i/>
          <w:iCs/>
          <w:lang w:val="fr-FR"/>
        </w:rPr>
        <w:t>.</w:t>
      </w:r>
      <w:r w:rsidRPr="0029469C">
        <w:rPr>
          <w:rFonts w:cs="Times New Roman"/>
          <w:i/>
          <w:iCs/>
          <w:lang w:val="fr-FR"/>
        </w:rPr>
        <w:t> »</w:t>
      </w:r>
      <w:r w:rsidRPr="00CF0543">
        <w:rPr>
          <w:rFonts w:cs="Times New Roman"/>
          <w:iCs/>
          <w:vertAlign w:val="superscript"/>
          <w:lang w:val="fr-FR"/>
        </w:rPr>
        <w:footnoteReference w:id="4"/>
      </w:r>
    </w:p>
    <w:p w:rsidR="007D258B" w:rsidRPr="0029469C" w:rsidRDefault="007D258B" w:rsidP="007D258B">
      <w:pPr>
        <w:tabs>
          <w:tab w:val="left" w:pos="-1440"/>
        </w:tabs>
        <w:snapToGrid w:val="0"/>
        <w:jc w:val="both"/>
        <w:rPr>
          <w:rFonts w:cs="Times New Roman"/>
          <w:lang w:val="fr-FR"/>
        </w:rPr>
      </w:pPr>
    </w:p>
    <w:p w:rsidR="007D258B" w:rsidRPr="00CF0543" w:rsidRDefault="005F030C" w:rsidP="007D258B">
      <w:pPr>
        <w:tabs>
          <w:tab w:val="left" w:pos="-1440"/>
        </w:tabs>
        <w:snapToGrid w:val="0"/>
        <w:jc w:val="both"/>
        <w:rPr>
          <w:rFonts w:cs="Times New Roman"/>
          <w:vertAlign w:val="superscript"/>
          <w:lang w:val="fr-FR"/>
        </w:rPr>
      </w:pPr>
      <w:r>
        <w:rPr>
          <w:rFonts w:cs="Times New Roman"/>
          <w:lang w:val="fr-FR"/>
        </w:rPr>
        <w:t>En conclusion, u</w:t>
      </w:r>
      <w:r w:rsidR="007D258B" w:rsidRPr="0029469C">
        <w:rPr>
          <w:rFonts w:cs="Times New Roman"/>
          <w:lang w:val="fr-FR"/>
        </w:rPr>
        <w:t xml:space="preserve">ne pénibilité suffisamment objectivée peut intervenir dans l’évaluation de l’incapacité permanente de travail, </w:t>
      </w:r>
      <w:r w:rsidR="007D258B" w:rsidRPr="0029469C">
        <w:rPr>
          <w:rFonts w:cs="Times New Roman"/>
          <w:u w:val="single"/>
          <w:lang w:val="fr-FR"/>
        </w:rPr>
        <w:t>à la condition</w:t>
      </w:r>
      <w:r w:rsidR="007D258B" w:rsidRPr="0029469C">
        <w:rPr>
          <w:rFonts w:cs="Times New Roman"/>
          <w:lang w:val="fr-FR"/>
        </w:rPr>
        <w:t xml:space="preserve"> qu’elle ait une répercussion sur la capacité de travail ou sur la position concurrentielle de la victime</w:t>
      </w:r>
      <w:r w:rsidR="007D258B">
        <w:rPr>
          <w:rFonts w:cs="Times New Roman"/>
          <w:lang w:val="fr-FR"/>
        </w:rPr>
        <w:t>.</w:t>
      </w:r>
      <w:r w:rsidR="007D258B" w:rsidRPr="0029469C">
        <w:rPr>
          <w:rFonts w:cs="Times New Roman"/>
          <w:lang w:val="fr-FR"/>
        </w:rPr>
        <w:t xml:space="preserve"> </w:t>
      </w:r>
      <w:r w:rsidR="007D258B" w:rsidRPr="00CF0543">
        <w:rPr>
          <w:rFonts w:cs="Times New Roman"/>
          <w:vertAlign w:val="superscript"/>
          <w:lang w:val="fr-FR"/>
        </w:rPr>
        <w:footnoteReference w:id="5"/>
      </w:r>
    </w:p>
    <w:p w:rsidR="007D258B" w:rsidRPr="00C85D84" w:rsidRDefault="007D258B" w:rsidP="007D258B">
      <w:pPr>
        <w:tabs>
          <w:tab w:val="left" w:pos="-1440"/>
        </w:tabs>
        <w:snapToGrid w:val="0"/>
        <w:jc w:val="both"/>
        <w:rPr>
          <w:rFonts w:cs="Times New Roman"/>
          <w:lang w:val="fr-FR"/>
        </w:rPr>
      </w:pPr>
    </w:p>
    <w:p w:rsidR="007D258B" w:rsidRPr="00C85D84" w:rsidRDefault="007D258B" w:rsidP="007D258B">
      <w:pPr>
        <w:tabs>
          <w:tab w:val="left" w:pos="-1440"/>
        </w:tabs>
        <w:snapToGrid w:val="0"/>
        <w:jc w:val="both"/>
        <w:rPr>
          <w:rFonts w:cs="Times New Roman"/>
          <w:i/>
          <w:lang w:val="fr-FR"/>
        </w:rPr>
      </w:pPr>
    </w:p>
    <w:p w:rsidR="007D258B" w:rsidRPr="00C85D84" w:rsidRDefault="007D258B" w:rsidP="007D258B">
      <w:pPr>
        <w:pStyle w:val="Paragraphedeliste"/>
        <w:numPr>
          <w:ilvl w:val="0"/>
          <w:numId w:val="21"/>
        </w:numPr>
        <w:tabs>
          <w:tab w:val="left" w:pos="-1440"/>
        </w:tabs>
        <w:snapToGrid w:val="0"/>
        <w:jc w:val="both"/>
        <w:rPr>
          <w:rFonts w:cs="Times New Roman"/>
          <w:i/>
          <w:lang w:val="fr-FR"/>
        </w:rPr>
      </w:pPr>
      <w:r>
        <w:rPr>
          <w:rFonts w:cs="Times New Roman"/>
          <w:i/>
          <w:lang w:val="fr-FR"/>
        </w:rPr>
        <w:t>La doctrine.</w:t>
      </w:r>
    </w:p>
    <w:p w:rsidR="007D258B" w:rsidRDefault="007D258B" w:rsidP="007D258B">
      <w:pPr>
        <w:tabs>
          <w:tab w:val="left" w:pos="-1440"/>
        </w:tabs>
        <w:snapToGrid w:val="0"/>
        <w:jc w:val="both"/>
        <w:rPr>
          <w:rFonts w:cs="Times New Roman"/>
          <w:i/>
          <w:lang w:val="fr-FR"/>
        </w:rPr>
      </w:pPr>
    </w:p>
    <w:p w:rsidR="007D258B" w:rsidRPr="0029469C" w:rsidRDefault="007D258B" w:rsidP="007D258B">
      <w:pPr>
        <w:tabs>
          <w:tab w:val="left" w:pos="-1440"/>
        </w:tabs>
        <w:snapToGrid w:val="0"/>
        <w:jc w:val="both"/>
        <w:rPr>
          <w:rFonts w:cs="Times New Roman"/>
          <w:i/>
          <w:lang w:val="fr-FR"/>
        </w:rPr>
      </w:pPr>
      <w:r w:rsidRPr="006755A6">
        <w:rPr>
          <w:rFonts w:cs="Times New Roman"/>
          <w:i/>
          <w:lang w:val="fr-FR"/>
        </w:rPr>
        <w:t xml:space="preserve"> </w:t>
      </w:r>
      <w:r w:rsidRPr="0029469C">
        <w:rPr>
          <w:rFonts w:cs="Times New Roman"/>
          <w:lang w:val="fr-FR"/>
        </w:rPr>
        <w:t>« </w:t>
      </w:r>
      <w:r w:rsidRPr="0029469C">
        <w:rPr>
          <w:rFonts w:cs="Times New Roman"/>
          <w:i/>
          <w:lang w:val="fr-FR"/>
        </w:rPr>
        <w:t xml:space="preserve">En matière de maladies professionnelles, comme tel est le cas dans celle des accidents du travail, la jurisprudence – la loi est à cet égard muette-enseigne que l’incapacité permanente, dont la fixation du taux n’est pas de la compétence du médecin-expert désigné par le juge et qui n’a pour mission que d’opérer des constatations et de donner un avis, relève </w:t>
      </w:r>
      <w:r w:rsidRPr="00692A5A">
        <w:rPr>
          <w:rFonts w:cs="Times New Roman"/>
          <w:b/>
          <w:i/>
          <w:lang w:val="fr-FR"/>
        </w:rPr>
        <w:t>de la seule appréciation du juge</w:t>
      </w:r>
      <w:r w:rsidRPr="00692A5A">
        <w:rPr>
          <w:rStyle w:val="Appelnotedebasdep"/>
          <w:rFonts w:cs="Times New Roman"/>
          <w:vertAlign w:val="superscript"/>
          <w:lang w:val="fr-FR"/>
        </w:rPr>
        <w:footnoteReference w:id="6"/>
      </w:r>
      <w:r w:rsidRPr="00692A5A">
        <w:rPr>
          <w:rFonts w:cs="Times New Roman"/>
          <w:i/>
          <w:lang w:val="fr-FR"/>
        </w:rPr>
        <w:t xml:space="preserve"> </w:t>
      </w:r>
      <w:r w:rsidRPr="0029469C">
        <w:rPr>
          <w:rFonts w:cs="Times New Roman"/>
          <w:i/>
          <w:lang w:val="fr-FR"/>
        </w:rPr>
        <w:t>(C. trav. Bruxelles, 10 janvier 2011, Chron. D. S., 2011, p. 257) et consiste dans la perte ou la diminution du potentiel économique de la victime sur le marché général de l’emploi, c’est-à-dire dans l’inaptitude à gagner sa vie par son travail.</w:t>
      </w:r>
    </w:p>
    <w:p w:rsidR="007D258B" w:rsidRDefault="007D258B" w:rsidP="007D258B">
      <w:pPr>
        <w:tabs>
          <w:tab w:val="left" w:pos="-1440"/>
        </w:tabs>
        <w:snapToGrid w:val="0"/>
        <w:jc w:val="both"/>
        <w:rPr>
          <w:rFonts w:cs="Times New Roman"/>
          <w:i/>
          <w:lang w:val="fr-FR"/>
        </w:rPr>
      </w:pPr>
      <w:r w:rsidRPr="0029469C">
        <w:rPr>
          <w:rFonts w:cs="Times New Roman"/>
          <w:i/>
          <w:lang w:val="fr-FR"/>
        </w:rPr>
        <w:t>Si la reconnaissance d’une incapacité permanente de travail suppose l’existence d’une incapacité physiologique, le taux de cette dernière ne constitue toutefois pas nécessairement l’élément déterminant pour évaluer le degré de l’incapacité permanente, l’étendue du dommage s’appréciant non seulement en fonction de l’incapacité physiologique, mais aussi de l’âge, de la qualification professionnelle, des facultés d’adaptation, des possibilités de rééducation professionnelle et de la capacité de concurrence sur le marché général de l’emploi de la victime, cette capacité de concurrence étant elle-même déterminée par les possibilités dont elle dispose encore, comparativement à d’autres travailleurs, d’exercer une activité salariée. »</w:t>
      </w:r>
      <w:r>
        <w:rPr>
          <w:rFonts w:cs="Times New Roman"/>
          <w:i/>
          <w:lang w:val="fr-FR"/>
        </w:rPr>
        <w:t xml:space="preserve"> </w:t>
      </w:r>
      <w:r w:rsidRPr="00101C08">
        <w:rPr>
          <w:rFonts w:cs="Times New Roman"/>
          <w:vertAlign w:val="superscript"/>
          <w:lang w:val="fr-FR"/>
        </w:rPr>
        <w:footnoteReference w:id="7"/>
      </w:r>
    </w:p>
    <w:p w:rsidR="007D258B" w:rsidRPr="00101C08" w:rsidRDefault="007D258B" w:rsidP="007D258B">
      <w:pPr>
        <w:tabs>
          <w:tab w:val="left" w:pos="-1440"/>
        </w:tabs>
        <w:snapToGrid w:val="0"/>
        <w:jc w:val="both"/>
        <w:rPr>
          <w:rFonts w:cs="Times New Roman"/>
          <w:vertAlign w:val="superscript"/>
          <w:lang w:val="fr-FR"/>
        </w:rPr>
      </w:pPr>
    </w:p>
    <w:p w:rsidR="007D258B" w:rsidRPr="00B4732A" w:rsidRDefault="007D258B" w:rsidP="007D258B">
      <w:pPr>
        <w:pStyle w:val="Paragraphedeliste"/>
        <w:numPr>
          <w:ilvl w:val="0"/>
          <w:numId w:val="16"/>
        </w:numPr>
        <w:tabs>
          <w:tab w:val="left" w:pos="-1440"/>
        </w:tabs>
        <w:snapToGrid w:val="0"/>
        <w:jc w:val="both"/>
        <w:rPr>
          <w:rFonts w:cs="Times New Roman"/>
          <w:b/>
          <w:lang w:val="fr-FR"/>
        </w:rPr>
      </w:pPr>
      <w:r>
        <w:rPr>
          <w:rFonts w:cs="Times New Roman"/>
          <w:b/>
          <w:lang w:val="fr-FR"/>
        </w:rPr>
        <w:t>En l’espèce.</w:t>
      </w:r>
    </w:p>
    <w:p w:rsidR="007D258B" w:rsidRDefault="007D258B" w:rsidP="007D258B">
      <w:pPr>
        <w:tabs>
          <w:tab w:val="left" w:pos="-1440"/>
        </w:tabs>
        <w:snapToGrid w:val="0"/>
        <w:jc w:val="both"/>
        <w:rPr>
          <w:rFonts w:cs="Times New Roman"/>
          <w:lang w:val="fr-FR"/>
        </w:rPr>
      </w:pPr>
    </w:p>
    <w:p w:rsidR="007D258B" w:rsidRPr="0029469C" w:rsidRDefault="007D258B" w:rsidP="007D258B">
      <w:pPr>
        <w:tabs>
          <w:tab w:val="left" w:pos="-1440"/>
        </w:tabs>
        <w:snapToGrid w:val="0"/>
        <w:jc w:val="both"/>
        <w:rPr>
          <w:rFonts w:cs="Times New Roman"/>
          <w:lang w:val="fr-FR"/>
        </w:rPr>
      </w:pPr>
      <w:r w:rsidRPr="0029469C">
        <w:rPr>
          <w:rFonts w:cs="Times New Roman"/>
          <w:lang w:val="fr-FR"/>
        </w:rPr>
        <w:t xml:space="preserve">La partie demanderesse est née le </w:t>
      </w:r>
      <w:r w:rsidR="00D121F6">
        <w:rPr>
          <w:rFonts w:cs="Times New Roman"/>
          <w:lang w:val="fr-FR"/>
        </w:rPr>
        <w:t>06 octobre 1980</w:t>
      </w:r>
      <w:r w:rsidRPr="0029469C">
        <w:rPr>
          <w:rFonts w:cs="Times New Roman"/>
          <w:lang w:val="fr-FR"/>
        </w:rPr>
        <w:t>.</w:t>
      </w:r>
    </w:p>
    <w:p w:rsidR="007D258B" w:rsidRPr="0029469C" w:rsidRDefault="007D258B" w:rsidP="007D258B">
      <w:pPr>
        <w:tabs>
          <w:tab w:val="left" w:pos="-1440"/>
        </w:tabs>
        <w:snapToGrid w:val="0"/>
        <w:jc w:val="both"/>
        <w:rPr>
          <w:rFonts w:cs="Times New Roman"/>
          <w:lang w:val="fr-FR"/>
        </w:rPr>
      </w:pPr>
      <w:r>
        <w:rPr>
          <w:rFonts w:cs="Times New Roman"/>
          <w:lang w:val="fr-FR"/>
        </w:rPr>
        <w:t xml:space="preserve">Elle </w:t>
      </w:r>
      <w:r w:rsidRPr="0029469C">
        <w:rPr>
          <w:rFonts w:cs="Times New Roman"/>
          <w:lang w:val="fr-FR"/>
        </w:rPr>
        <w:t>est âgé</w:t>
      </w:r>
      <w:r>
        <w:rPr>
          <w:rFonts w:cs="Times New Roman"/>
          <w:lang w:val="fr-FR"/>
        </w:rPr>
        <w:t>e</w:t>
      </w:r>
      <w:r w:rsidRPr="0029469C">
        <w:rPr>
          <w:rFonts w:cs="Times New Roman"/>
          <w:lang w:val="fr-FR"/>
        </w:rPr>
        <w:t xml:space="preserve"> de</w:t>
      </w:r>
      <w:r>
        <w:rPr>
          <w:rFonts w:cs="Times New Roman"/>
          <w:lang w:val="fr-FR"/>
        </w:rPr>
        <w:t xml:space="preserve"> </w:t>
      </w:r>
      <w:r w:rsidR="00D121F6">
        <w:rPr>
          <w:rFonts w:cs="Times New Roman"/>
          <w:lang w:val="fr-FR"/>
        </w:rPr>
        <w:t>36</w:t>
      </w:r>
      <w:r w:rsidRPr="0029469C">
        <w:rPr>
          <w:rFonts w:cs="Times New Roman"/>
          <w:lang w:val="fr-FR"/>
        </w:rPr>
        <w:t xml:space="preserve"> ans au moment de la reconnaissance </w:t>
      </w:r>
      <w:r>
        <w:rPr>
          <w:rFonts w:cs="Times New Roman"/>
          <w:lang w:val="fr-FR"/>
        </w:rPr>
        <w:t xml:space="preserve">de </w:t>
      </w:r>
      <w:r w:rsidRPr="0029469C">
        <w:rPr>
          <w:rFonts w:cs="Times New Roman"/>
          <w:lang w:val="fr-FR"/>
        </w:rPr>
        <w:t>l</w:t>
      </w:r>
      <w:r w:rsidR="00D121F6">
        <w:rPr>
          <w:rFonts w:cs="Times New Roman"/>
          <w:lang w:val="fr-FR"/>
        </w:rPr>
        <w:t xml:space="preserve">a première </w:t>
      </w:r>
      <w:r>
        <w:rPr>
          <w:rFonts w:cs="Times New Roman"/>
          <w:lang w:val="fr-FR"/>
        </w:rPr>
        <w:t>incapacité permanente partielle</w:t>
      </w:r>
      <w:r w:rsidRPr="0029469C">
        <w:rPr>
          <w:rFonts w:cs="Times New Roman"/>
          <w:lang w:val="fr-FR"/>
        </w:rPr>
        <w:t>.</w:t>
      </w:r>
    </w:p>
    <w:p w:rsidR="007D258B" w:rsidRPr="0029469C" w:rsidRDefault="007D258B" w:rsidP="007D258B">
      <w:pPr>
        <w:tabs>
          <w:tab w:val="left" w:pos="-1440"/>
        </w:tabs>
        <w:snapToGrid w:val="0"/>
        <w:jc w:val="both"/>
        <w:rPr>
          <w:rFonts w:cs="Times New Roman"/>
          <w:lang w:val="fr-FR"/>
        </w:rPr>
      </w:pPr>
    </w:p>
    <w:p w:rsidR="007D258B" w:rsidRPr="0029469C" w:rsidRDefault="007D258B" w:rsidP="007D258B">
      <w:pPr>
        <w:tabs>
          <w:tab w:val="left" w:pos="-1440"/>
        </w:tabs>
        <w:snapToGrid w:val="0"/>
        <w:jc w:val="both"/>
        <w:rPr>
          <w:rFonts w:cs="Times New Roman"/>
          <w:lang w:val="fr-FR"/>
        </w:rPr>
      </w:pPr>
      <w:r w:rsidRPr="0029469C">
        <w:rPr>
          <w:rFonts w:cs="Times New Roman"/>
          <w:lang w:val="fr-FR"/>
        </w:rPr>
        <w:t>Son parcours professionnel est décrit en page</w:t>
      </w:r>
      <w:r w:rsidR="00D121F6">
        <w:rPr>
          <w:rFonts w:cs="Times New Roman"/>
          <w:lang w:val="fr-FR"/>
        </w:rPr>
        <w:t xml:space="preserve"> 05</w:t>
      </w:r>
      <w:r w:rsidRPr="0029469C">
        <w:rPr>
          <w:rFonts w:cs="Times New Roman"/>
          <w:lang w:val="fr-FR"/>
        </w:rPr>
        <w:t xml:space="preserve"> du rapport d’expertise. </w:t>
      </w:r>
    </w:p>
    <w:p w:rsidR="007D258B" w:rsidRPr="0029469C" w:rsidRDefault="007D258B" w:rsidP="007D258B">
      <w:pPr>
        <w:tabs>
          <w:tab w:val="left" w:pos="-1440"/>
        </w:tabs>
        <w:snapToGrid w:val="0"/>
        <w:jc w:val="both"/>
        <w:rPr>
          <w:rFonts w:cs="Times New Roman"/>
          <w:lang w:val="fr-FR"/>
        </w:rPr>
      </w:pPr>
    </w:p>
    <w:p w:rsidR="007D258B" w:rsidRDefault="007D258B" w:rsidP="007D258B">
      <w:pPr>
        <w:tabs>
          <w:tab w:val="left" w:pos="-1440"/>
        </w:tabs>
        <w:snapToGrid w:val="0"/>
        <w:jc w:val="both"/>
        <w:rPr>
          <w:rFonts w:cs="Times New Roman"/>
          <w:lang w:val="fr-FR"/>
        </w:rPr>
      </w:pPr>
      <w:r w:rsidRPr="0029469C">
        <w:rPr>
          <w:rFonts w:cs="Times New Roman"/>
          <w:lang w:val="fr-FR"/>
        </w:rPr>
        <w:t xml:space="preserve">Il ressort de la carrière professionnelle fournie par l’expert que </w:t>
      </w:r>
      <w:r>
        <w:rPr>
          <w:rFonts w:cs="Times New Roman"/>
          <w:lang w:val="fr-FR"/>
        </w:rPr>
        <w:t>celle-ci est essentiellement manuelle</w:t>
      </w:r>
      <w:r w:rsidRPr="0029469C">
        <w:rPr>
          <w:rFonts w:cs="Times New Roman"/>
          <w:lang w:val="fr-FR"/>
        </w:rPr>
        <w:t>.</w:t>
      </w:r>
      <w:r>
        <w:rPr>
          <w:rFonts w:cs="Times New Roman"/>
          <w:lang w:val="fr-FR"/>
        </w:rPr>
        <w:t xml:space="preserve"> </w:t>
      </w:r>
    </w:p>
    <w:p w:rsidR="007D258B" w:rsidRDefault="007D258B" w:rsidP="007D258B">
      <w:pPr>
        <w:tabs>
          <w:tab w:val="left" w:pos="-1440"/>
        </w:tabs>
        <w:snapToGrid w:val="0"/>
        <w:jc w:val="both"/>
        <w:rPr>
          <w:rFonts w:cs="Times New Roman"/>
          <w:lang w:val="fr-FR"/>
        </w:rPr>
      </w:pPr>
    </w:p>
    <w:p w:rsidR="00BE39D7" w:rsidRDefault="00BE39D7" w:rsidP="007D258B">
      <w:pPr>
        <w:tabs>
          <w:tab w:val="left" w:pos="-1440"/>
        </w:tabs>
        <w:snapToGrid w:val="0"/>
        <w:jc w:val="both"/>
        <w:rPr>
          <w:rFonts w:cs="Times New Roman"/>
          <w:lang w:val="fr-FR"/>
        </w:rPr>
      </w:pPr>
      <w:r>
        <w:rPr>
          <w:rFonts w:cs="Times New Roman"/>
          <w:lang w:val="fr-FR"/>
        </w:rPr>
        <w:t xml:space="preserve">Monsieur </w:t>
      </w:r>
      <w:r w:rsidR="00014E4B">
        <w:rPr>
          <w:rFonts w:cs="Times New Roman"/>
          <w:lang w:val="fr-FR"/>
        </w:rPr>
        <w:t>T.</w:t>
      </w:r>
      <w:r w:rsidR="007D258B">
        <w:rPr>
          <w:rFonts w:cs="Times New Roman"/>
          <w:lang w:val="fr-FR"/>
        </w:rPr>
        <w:t xml:space="preserve"> a </w:t>
      </w:r>
      <w:r>
        <w:rPr>
          <w:rFonts w:cs="Times New Roman"/>
          <w:lang w:val="fr-FR"/>
        </w:rPr>
        <w:t>débuté sa carrière professionnelle en 1998, à l’âge de 18 ans, en qualité d’ouvrier de production.</w:t>
      </w:r>
    </w:p>
    <w:p w:rsidR="00BE39D7" w:rsidRDefault="00BE39D7" w:rsidP="007D258B">
      <w:pPr>
        <w:tabs>
          <w:tab w:val="left" w:pos="-1440"/>
        </w:tabs>
        <w:snapToGrid w:val="0"/>
        <w:jc w:val="both"/>
        <w:rPr>
          <w:rFonts w:cs="Times New Roman"/>
          <w:lang w:val="fr-FR"/>
        </w:rPr>
      </w:pPr>
      <w:r>
        <w:rPr>
          <w:rFonts w:cs="Times New Roman"/>
          <w:lang w:val="fr-FR"/>
        </w:rPr>
        <w:t>Ensuite, il a travaillé dans le bâtiment au sein de l’entreprise C</w:t>
      </w:r>
      <w:r w:rsidR="00014E4B">
        <w:rPr>
          <w:rFonts w:cs="Times New Roman"/>
          <w:lang w:val="fr-FR"/>
        </w:rPr>
        <w:t>.</w:t>
      </w:r>
      <w:r>
        <w:rPr>
          <w:rFonts w:cs="Times New Roman"/>
          <w:lang w:val="fr-FR"/>
        </w:rPr>
        <w:t xml:space="preserve"> pendant 3 ans.</w:t>
      </w:r>
    </w:p>
    <w:p w:rsidR="00BE39D7" w:rsidRDefault="00BE39D7" w:rsidP="007D258B">
      <w:pPr>
        <w:tabs>
          <w:tab w:val="left" w:pos="-1440"/>
        </w:tabs>
        <w:snapToGrid w:val="0"/>
        <w:jc w:val="both"/>
        <w:rPr>
          <w:rFonts w:cs="Times New Roman"/>
          <w:lang w:val="fr-FR"/>
        </w:rPr>
      </w:pPr>
      <w:r>
        <w:rPr>
          <w:rFonts w:cs="Times New Roman"/>
          <w:lang w:val="fr-FR"/>
        </w:rPr>
        <w:t>Il a exercé la profession de plafonneur de 2003 à 2013.</w:t>
      </w:r>
    </w:p>
    <w:p w:rsidR="00BE39D7" w:rsidRDefault="00BE39D7" w:rsidP="007D258B">
      <w:pPr>
        <w:tabs>
          <w:tab w:val="left" w:pos="-1440"/>
        </w:tabs>
        <w:snapToGrid w:val="0"/>
        <w:jc w:val="both"/>
        <w:rPr>
          <w:rFonts w:cs="Times New Roman"/>
          <w:lang w:val="fr-FR"/>
        </w:rPr>
      </w:pPr>
      <w:r>
        <w:rPr>
          <w:rFonts w:cs="Times New Roman"/>
          <w:lang w:val="fr-FR"/>
        </w:rPr>
        <w:t>A cette date, il fut engagé au sein de l’entreprise de châssis O.</w:t>
      </w:r>
      <w:r w:rsidR="0004150F">
        <w:rPr>
          <w:rFonts w:cs="Times New Roman"/>
          <w:lang w:val="fr-FR"/>
        </w:rPr>
        <w:t xml:space="preserve"> Il travaille uniquement sur chantier.  Il monte, démonte et réalise les activités de placement et de finition.</w:t>
      </w:r>
    </w:p>
    <w:p w:rsidR="007D258B" w:rsidRDefault="007D258B" w:rsidP="007D258B">
      <w:pPr>
        <w:tabs>
          <w:tab w:val="left" w:pos="-1440"/>
        </w:tabs>
        <w:snapToGrid w:val="0"/>
        <w:jc w:val="both"/>
        <w:rPr>
          <w:rFonts w:cs="Times New Roman"/>
          <w:lang w:val="fr-FR"/>
        </w:rPr>
      </w:pPr>
    </w:p>
    <w:p w:rsidR="007D258B" w:rsidRPr="0029469C" w:rsidRDefault="007D258B" w:rsidP="007D258B">
      <w:pPr>
        <w:tabs>
          <w:tab w:val="left" w:pos="-1440"/>
        </w:tabs>
        <w:snapToGrid w:val="0"/>
        <w:jc w:val="both"/>
        <w:rPr>
          <w:rFonts w:cs="Times New Roman"/>
          <w:lang w:val="fr-FR"/>
        </w:rPr>
      </w:pPr>
      <w:r w:rsidRPr="0029469C">
        <w:rPr>
          <w:rFonts w:cs="Times New Roman"/>
          <w:lang w:val="fr-FR"/>
        </w:rPr>
        <w:t>Positions des parties en ce qui concerne les FSE :</w:t>
      </w:r>
    </w:p>
    <w:p w:rsidR="007D258B" w:rsidRPr="0029469C" w:rsidRDefault="007D258B" w:rsidP="007D258B">
      <w:pPr>
        <w:tabs>
          <w:tab w:val="left" w:pos="-1440"/>
        </w:tabs>
        <w:snapToGrid w:val="0"/>
        <w:jc w:val="both"/>
        <w:rPr>
          <w:rFonts w:cs="Times New Roman"/>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323"/>
        <w:gridCol w:w="3402"/>
      </w:tblGrid>
      <w:tr w:rsidR="007D258B" w:rsidRPr="0029469C" w:rsidTr="00676CB0">
        <w:tc>
          <w:tcPr>
            <w:tcW w:w="4323" w:type="dxa"/>
            <w:tcBorders>
              <w:top w:val="single" w:sz="4" w:space="0" w:color="auto"/>
              <w:left w:val="single" w:sz="4" w:space="0" w:color="auto"/>
              <w:bottom w:val="single" w:sz="4" w:space="0" w:color="auto"/>
              <w:right w:val="single" w:sz="4" w:space="0" w:color="auto"/>
            </w:tcBorders>
          </w:tcPr>
          <w:p w:rsidR="007D258B" w:rsidRPr="0029469C" w:rsidRDefault="007D258B" w:rsidP="00676CB0">
            <w:pPr>
              <w:tabs>
                <w:tab w:val="left" w:pos="-1440"/>
              </w:tabs>
              <w:snapToGrid w:val="0"/>
              <w:jc w:val="both"/>
              <w:rPr>
                <w:rFonts w:cs="Times New Roman"/>
                <w:lang w:val="fr-FR"/>
              </w:rPr>
            </w:pPr>
          </w:p>
          <w:p w:rsidR="007D258B" w:rsidRPr="0029469C" w:rsidRDefault="007D258B" w:rsidP="00676CB0">
            <w:pPr>
              <w:tabs>
                <w:tab w:val="left" w:pos="-1440"/>
              </w:tabs>
              <w:snapToGrid w:val="0"/>
              <w:jc w:val="both"/>
              <w:rPr>
                <w:rFonts w:cs="Times New Roman"/>
                <w:b/>
                <w:u w:val="single"/>
              </w:rPr>
            </w:pPr>
            <w:r w:rsidRPr="0029469C">
              <w:rPr>
                <w:rFonts w:cs="Times New Roman"/>
                <w:lang w:val="fr-FR"/>
              </w:rPr>
              <w:t xml:space="preserve">                   </w:t>
            </w:r>
            <w:r w:rsidRPr="0029469C">
              <w:rPr>
                <w:rFonts w:cs="Times New Roman"/>
                <w:b/>
                <w:u w:val="single"/>
              </w:rPr>
              <w:t xml:space="preserve">DEMANDEUR </w:t>
            </w:r>
          </w:p>
        </w:tc>
        <w:tc>
          <w:tcPr>
            <w:tcW w:w="3402" w:type="dxa"/>
            <w:tcBorders>
              <w:top w:val="single" w:sz="4" w:space="0" w:color="auto"/>
              <w:left w:val="single" w:sz="4" w:space="0" w:color="auto"/>
              <w:bottom w:val="single" w:sz="4" w:space="0" w:color="auto"/>
              <w:right w:val="single" w:sz="4" w:space="0" w:color="auto"/>
            </w:tcBorders>
          </w:tcPr>
          <w:p w:rsidR="007D258B" w:rsidRPr="0029469C" w:rsidRDefault="007D258B" w:rsidP="00676CB0">
            <w:pPr>
              <w:tabs>
                <w:tab w:val="left" w:pos="-1440"/>
              </w:tabs>
              <w:snapToGrid w:val="0"/>
              <w:jc w:val="both"/>
              <w:rPr>
                <w:rFonts w:cs="Times New Roman"/>
              </w:rPr>
            </w:pPr>
          </w:p>
          <w:p w:rsidR="007D258B" w:rsidRPr="0029469C" w:rsidRDefault="007D258B" w:rsidP="00676CB0">
            <w:pPr>
              <w:tabs>
                <w:tab w:val="left" w:pos="-1440"/>
              </w:tabs>
              <w:snapToGrid w:val="0"/>
              <w:jc w:val="both"/>
              <w:rPr>
                <w:rFonts w:cs="Times New Roman"/>
                <w:b/>
                <w:u w:val="single"/>
              </w:rPr>
            </w:pPr>
            <w:r w:rsidRPr="0029469C">
              <w:rPr>
                <w:rFonts w:cs="Times New Roman"/>
              </w:rPr>
              <w:t xml:space="preserve">                 </w:t>
            </w:r>
            <w:r w:rsidRPr="0029469C">
              <w:rPr>
                <w:rFonts w:cs="Times New Roman"/>
                <w:b/>
              </w:rPr>
              <w:t xml:space="preserve"> </w:t>
            </w:r>
            <w:r w:rsidRPr="0029469C">
              <w:rPr>
                <w:rFonts w:cs="Times New Roman"/>
                <w:b/>
                <w:u w:val="single"/>
              </w:rPr>
              <w:t>FEDRIS</w:t>
            </w:r>
          </w:p>
        </w:tc>
      </w:tr>
      <w:tr w:rsidR="007D258B" w:rsidRPr="0029469C" w:rsidTr="00676CB0">
        <w:tc>
          <w:tcPr>
            <w:tcW w:w="4323" w:type="dxa"/>
            <w:tcBorders>
              <w:top w:val="single" w:sz="4" w:space="0" w:color="auto"/>
              <w:left w:val="single" w:sz="4" w:space="0" w:color="auto"/>
              <w:bottom w:val="single" w:sz="4" w:space="0" w:color="auto"/>
              <w:right w:val="single" w:sz="4" w:space="0" w:color="auto"/>
            </w:tcBorders>
          </w:tcPr>
          <w:p w:rsidR="007D258B" w:rsidRPr="0029469C" w:rsidRDefault="007D258B" w:rsidP="00676CB0">
            <w:pPr>
              <w:tabs>
                <w:tab w:val="left" w:pos="-1440"/>
              </w:tabs>
              <w:snapToGrid w:val="0"/>
              <w:jc w:val="both"/>
              <w:rPr>
                <w:rFonts w:cs="Times New Roman"/>
              </w:rPr>
            </w:pPr>
          </w:p>
          <w:p w:rsidR="007D258B" w:rsidRDefault="007D258B" w:rsidP="00676CB0">
            <w:pPr>
              <w:tabs>
                <w:tab w:val="left" w:pos="-1440"/>
              </w:tabs>
              <w:snapToGrid w:val="0"/>
              <w:jc w:val="both"/>
              <w:rPr>
                <w:rFonts w:cs="Times New Roman"/>
              </w:rPr>
            </w:pPr>
            <w:r>
              <w:rPr>
                <w:rFonts w:cs="Times New Roman"/>
              </w:rPr>
              <w:t>0</w:t>
            </w:r>
            <w:r w:rsidR="0004150F">
              <w:rPr>
                <w:rFonts w:cs="Times New Roman"/>
              </w:rPr>
              <w:t>6</w:t>
            </w:r>
            <w:r w:rsidRPr="0004377D">
              <w:rPr>
                <w:rFonts w:cs="Times New Roman"/>
              </w:rPr>
              <w:t>+0</w:t>
            </w:r>
            <w:r w:rsidR="0004150F">
              <w:rPr>
                <w:rFonts w:cs="Times New Roman"/>
              </w:rPr>
              <w:t>6</w:t>
            </w:r>
            <w:r w:rsidRPr="0004377D">
              <w:rPr>
                <w:rFonts w:cs="Times New Roman"/>
              </w:rPr>
              <w:t xml:space="preserve">= </w:t>
            </w:r>
            <w:r w:rsidR="0004150F">
              <w:rPr>
                <w:rFonts w:cs="Times New Roman"/>
              </w:rPr>
              <w:t>12</w:t>
            </w:r>
            <w:r w:rsidRPr="0004377D">
              <w:rPr>
                <w:rFonts w:cs="Times New Roman"/>
              </w:rPr>
              <w:t>%</w:t>
            </w:r>
          </w:p>
          <w:p w:rsidR="007D258B" w:rsidRPr="007B5713" w:rsidRDefault="007D258B" w:rsidP="00676CB0">
            <w:pPr>
              <w:tabs>
                <w:tab w:val="left" w:pos="-1440"/>
              </w:tabs>
              <w:snapToGrid w:val="0"/>
              <w:jc w:val="both"/>
              <w:rPr>
                <w:rFonts w:cs="Times New Roman"/>
              </w:rPr>
            </w:pPr>
            <w:r>
              <w:rPr>
                <w:rFonts w:cs="Times New Roman"/>
              </w:rPr>
              <w:t>0</w:t>
            </w:r>
            <w:r w:rsidR="0004150F">
              <w:rPr>
                <w:rFonts w:cs="Times New Roman"/>
              </w:rPr>
              <w:t>5</w:t>
            </w:r>
            <w:r>
              <w:rPr>
                <w:rFonts w:cs="Times New Roman"/>
              </w:rPr>
              <w:t>+0</w:t>
            </w:r>
            <w:r w:rsidR="0004150F">
              <w:rPr>
                <w:rFonts w:cs="Times New Roman"/>
              </w:rPr>
              <w:t>5</w:t>
            </w:r>
            <w:r>
              <w:rPr>
                <w:rFonts w:cs="Times New Roman"/>
              </w:rPr>
              <w:t>=</w:t>
            </w:r>
            <w:r w:rsidR="0004150F">
              <w:rPr>
                <w:rFonts w:cs="Times New Roman"/>
              </w:rPr>
              <w:t xml:space="preserve"> 10</w:t>
            </w:r>
            <w:r>
              <w:rPr>
                <w:rFonts w:cs="Times New Roman"/>
              </w:rPr>
              <w:t>%</w:t>
            </w:r>
            <w:r w:rsidRPr="007B5713">
              <w:rPr>
                <w:rFonts w:cs="Times New Roman"/>
              </w:rPr>
              <w:t xml:space="preserve">  </w:t>
            </w:r>
          </w:p>
          <w:p w:rsidR="007D258B" w:rsidRPr="0029469C" w:rsidRDefault="007D258B" w:rsidP="00676CB0">
            <w:pPr>
              <w:tabs>
                <w:tab w:val="left" w:pos="-1440"/>
              </w:tabs>
              <w:snapToGrid w:val="0"/>
              <w:jc w:val="both"/>
              <w:rPr>
                <w:rFonts w:cs="Times New Roman"/>
              </w:rPr>
            </w:pPr>
          </w:p>
        </w:tc>
        <w:tc>
          <w:tcPr>
            <w:tcW w:w="3402" w:type="dxa"/>
            <w:tcBorders>
              <w:top w:val="single" w:sz="4" w:space="0" w:color="auto"/>
              <w:left w:val="single" w:sz="4" w:space="0" w:color="auto"/>
              <w:bottom w:val="single" w:sz="4" w:space="0" w:color="auto"/>
              <w:right w:val="single" w:sz="4" w:space="0" w:color="auto"/>
            </w:tcBorders>
          </w:tcPr>
          <w:p w:rsidR="007D258B" w:rsidRPr="0029469C" w:rsidRDefault="007D258B" w:rsidP="00676CB0">
            <w:pPr>
              <w:tabs>
                <w:tab w:val="left" w:pos="-1440"/>
              </w:tabs>
              <w:snapToGrid w:val="0"/>
              <w:jc w:val="both"/>
              <w:rPr>
                <w:rFonts w:cs="Times New Roman"/>
              </w:rPr>
            </w:pPr>
          </w:p>
          <w:p w:rsidR="007D258B" w:rsidRDefault="007D258B" w:rsidP="00676CB0">
            <w:pPr>
              <w:tabs>
                <w:tab w:val="left" w:pos="-1440"/>
              </w:tabs>
              <w:snapToGrid w:val="0"/>
              <w:jc w:val="both"/>
              <w:rPr>
                <w:rFonts w:cs="Times New Roman"/>
              </w:rPr>
            </w:pPr>
            <w:r>
              <w:rPr>
                <w:rFonts w:cs="Times New Roman"/>
              </w:rPr>
              <w:t>0</w:t>
            </w:r>
            <w:r w:rsidR="0004150F">
              <w:rPr>
                <w:rFonts w:cs="Times New Roman"/>
              </w:rPr>
              <w:t>6</w:t>
            </w:r>
            <w:r w:rsidRPr="00CF389B">
              <w:rPr>
                <w:rFonts w:cs="Times New Roman"/>
              </w:rPr>
              <w:t>+0</w:t>
            </w:r>
            <w:r>
              <w:rPr>
                <w:rFonts w:cs="Times New Roman"/>
              </w:rPr>
              <w:t>1</w:t>
            </w:r>
            <w:r w:rsidRPr="00CF389B">
              <w:rPr>
                <w:rFonts w:cs="Times New Roman"/>
              </w:rPr>
              <w:t xml:space="preserve">= </w:t>
            </w:r>
            <w:r>
              <w:rPr>
                <w:rFonts w:cs="Times New Roman"/>
              </w:rPr>
              <w:t>0</w:t>
            </w:r>
            <w:r w:rsidR="0004150F">
              <w:rPr>
                <w:rFonts w:cs="Times New Roman"/>
              </w:rPr>
              <w:t>7</w:t>
            </w:r>
            <w:r w:rsidRPr="00CF389B">
              <w:rPr>
                <w:rFonts w:cs="Times New Roman"/>
              </w:rPr>
              <w:t>%</w:t>
            </w:r>
          </w:p>
          <w:p w:rsidR="007D258B" w:rsidRDefault="007D258B" w:rsidP="00676CB0">
            <w:pPr>
              <w:tabs>
                <w:tab w:val="left" w:pos="-1440"/>
              </w:tabs>
              <w:snapToGrid w:val="0"/>
              <w:jc w:val="both"/>
              <w:rPr>
                <w:rFonts w:cs="Times New Roman"/>
              </w:rPr>
            </w:pPr>
            <w:r>
              <w:rPr>
                <w:rFonts w:cs="Times New Roman"/>
              </w:rPr>
              <w:t>0</w:t>
            </w:r>
            <w:r w:rsidR="0004150F">
              <w:rPr>
                <w:rFonts w:cs="Times New Roman"/>
              </w:rPr>
              <w:t>5</w:t>
            </w:r>
            <w:r>
              <w:rPr>
                <w:rFonts w:cs="Times New Roman"/>
              </w:rPr>
              <w:t>+01= 0</w:t>
            </w:r>
            <w:r w:rsidR="0004150F">
              <w:rPr>
                <w:rFonts w:cs="Times New Roman"/>
              </w:rPr>
              <w:t>6</w:t>
            </w:r>
            <w:r>
              <w:rPr>
                <w:rFonts w:cs="Times New Roman"/>
              </w:rPr>
              <w:t>%</w:t>
            </w:r>
          </w:p>
          <w:p w:rsidR="007D258B" w:rsidRPr="0029469C" w:rsidRDefault="007D258B" w:rsidP="00676CB0">
            <w:pPr>
              <w:tabs>
                <w:tab w:val="left" w:pos="-1440"/>
              </w:tabs>
              <w:snapToGrid w:val="0"/>
              <w:jc w:val="both"/>
              <w:rPr>
                <w:rFonts w:cs="Times New Roman"/>
              </w:rPr>
            </w:pPr>
          </w:p>
        </w:tc>
      </w:tr>
    </w:tbl>
    <w:p w:rsidR="007D258B" w:rsidRPr="0029469C" w:rsidRDefault="007D258B" w:rsidP="007D258B">
      <w:pPr>
        <w:tabs>
          <w:tab w:val="left" w:pos="-1440"/>
        </w:tabs>
        <w:snapToGrid w:val="0"/>
        <w:jc w:val="both"/>
        <w:rPr>
          <w:rFonts w:cs="Times New Roman"/>
        </w:rPr>
      </w:pPr>
    </w:p>
    <w:p w:rsidR="007D258B" w:rsidRDefault="007D258B" w:rsidP="007D258B">
      <w:pPr>
        <w:tabs>
          <w:tab w:val="left" w:pos="-1440"/>
        </w:tabs>
        <w:snapToGrid w:val="0"/>
        <w:jc w:val="both"/>
        <w:rPr>
          <w:rFonts w:cs="Times New Roman"/>
          <w:lang w:val="fr-FR"/>
        </w:rPr>
      </w:pPr>
      <w:r>
        <w:rPr>
          <w:rFonts w:cs="Times New Roman"/>
          <w:lang w:val="fr-FR"/>
        </w:rPr>
        <w:t>Le potentiel économique de la partie</w:t>
      </w:r>
      <w:r w:rsidRPr="0029469C">
        <w:rPr>
          <w:rFonts w:cs="Times New Roman"/>
          <w:lang w:val="fr-FR"/>
        </w:rPr>
        <w:t xml:space="preserve"> demander</w:t>
      </w:r>
      <w:r>
        <w:rPr>
          <w:rFonts w:cs="Times New Roman"/>
          <w:lang w:val="fr-FR"/>
        </w:rPr>
        <w:t>esse</w:t>
      </w:r>
      <w:r w:rsidRPr="0029469C">
        <w:rPr>
          <w:rFonts w:cs="Times New Roman"/>
          <w:lang w:val="fr-FR"/>
        </w:rPr>
        <w:t xml:space="preserve"> est atteint par la maladie professionnelle dont </w:t>
      </w:r>
      <w:r>
        <w:rPr>
          <w:rFonts w:cs="Times New Roman"/>
          <w:lang w:val="fr-FR"/>
        </w:rPr>
        <w:t>elle</w:t>
      </w:r>
      <w:r w:rsidRPr="0029469C">
        <w:rPr>
          <w:rFonts w:cs="Times New Roman"/>
          <w:lang w:val="fr-FR"/>
        </w:rPr>
        <w:t xml:space="preserve"> souffre. </w:t>
      </w:r>
    </w:p>
    <w:p w:rsidR="007D258B" w:rsidRPr="0029469C" w:rsidRDefault="007D258B" w:rsidP="007D258B">
      <w:pPr>
        <w:tabs>
          <w:tab w:val="left" w:pos="-1440"/>
        </w:tabs>
        <w:snapToGrid w:val="0"/>
        <w:jc w:val="both"/>
        <w:rPr>
          <w:rFonts w:cs="Times New Roman"/>
          <w:lang w:val="fr-FR"/>
        </w:rPr>
      </w:pPr>
    </w:p>
    <w:p w:rsidR="007D258B" w:rsidRPr="0029469C" w:rsidRDefault="007D258B" w:rsidP="007D258B">
      <w:pPr>
        <w:tabs>
          <w:tab w:val="left" w:pos="-1440"/>
        </w:tabs>
        <w:snapToGrid w:val="0"/>
        <w:jc w:val="both"/>
        <w:rPr>
          <w:rFonts w:cs="Times New Roman"/>
          <w:b/>
          <w:bCs/>
          <w:lang w:val="fr-FR"/>
        </w:rPr>
      </w:pPr>
      <w:r w:rsidRPr="0029469C">
        <w:rPr>
          <w:rFonts w:cs="Times New Roman"/>
          <w:lang w:val="fr-FR"/>
        </w:rPr>
        <w:t xml:space="preserve">En conséquence, en appréciant concrètement ces divers éléments, le tribunal considère que </w:t>
      </w:r>
      <w:r w:rsidRPr="0029469C">
        <w:rPr>
          <w:rFonts w:cs="Times New Roman"/>
          <w:b/>
          <w:bCs/>
          <w:lang w:val="fr-FR"/>
        </w:rPr>
        <w:t>le taux des facteurs économiqu</w:t>
      </w:r>
      <w:r>
        <w:rPr>
          <w:rFonts w:cs="Times New Roman"/>
          <w:b/>
          <w:bCs/>
          <w:lang w:val="fr-FR"/>
        </w:rPr>
        <w:t>e</w:t>
      </w:r>
      <w:r w:rsidR="0004150F">
        <w:rPr>
          <w:rFonts w:cs="Times New Roman"/>
          <w:b/>
          <w:bCs/>
          <w:lang w:val="fr-FR"/>
        </w:rPr>
        <w:t>s et sociaux doit être fixé à 03</w:t>
      </w:r>
      <w:r>
        <w:rPr>
          <w:rFonts w:cs="Times New Roman"/>
          <w:b/>
          <w:bCs/>
          <w:lang w:val="fr-FR"/>
        </w:rPr>
        <w:t xml:space="preserve"> %, puis à 0</w:t>
      </w:r>
      <w:r w:rsidR="0004150F">
        <w:rPr>
          <w:rFonts w:cs="Times New Roman"/>
          <w:b/>
          <w:bCs/>
          <w:lang w:val="fr-FR"/>
        </w:rPr>
        <w:t>2</w:t>
      </w:r>
      <w:r>
        <w:rPr>
          <w:rFonts w:cs="Times New Roman"/>
          <w:b/>
          <w:bCs/>
          <w:lang w:val="fr-FR"/>
        </w:rPr>
        <w:t xml:space="preserve"> %</w:t>
      </w:r>
      <w:r w:rsidRPr="0029469C">
        <w:rPr>
          <w:rFonts w:cs="Times New Roman"/>
          <w:b/>
          <w:bCs/>
          <w:lang w:val="fr-FR"/>
        </w:rPr>
        <w:t>.</w:t>
      </w:r>
    </w:p>
    <w:p w:rsidR="007D258B" w:rsidRDefault="007D258B" w:rsidP="007D258B">
      <w:pPr>
        <w:tabs>
          <w:tab w:val="left" w:pos="-1440"/>
        </w:tabs>
        <w:snapToGrid w:val="0"/>
        <w:jc w:val="both"/>
        <w:rPr>
          <w:rFonts w:cs="Times New Roman"/>
          <w:lang w:val="fr-FR"/>
        </w:rPr>
      </w:pPr>
    </w:p>
    <w:p w:rsidR="007D258B" w:rsidRPr="0029469C" w:rsidRDefault="007D258B" w:rsidP="007D258B">
      <w:pPr>
        <w:tabs>
          <w:tab w:val="left" w:pos="-1440"/>
        </w:tabs>
        <w:snapToGrid w:val="0"/>
        <w:jc w:val="both"/>
        <w:rPr>
          <w:rFonts w:cs="Times New Roman"/>
          <w:lang w:val="fr-FR"/>
        </w:rPr>
      </w:pPr>
    </w:p>
    <w:p w:rsidR="007D258B" w:rsidRPr="00550848" w:rsidRDefault="007D258B" w:rsidP="007D258B">
      <w:pPr>
        <w:pStyle w:val="Paragraphedeliste"/>
        <w:numPr>
          <w:ilvl w:val="0"/>
          <w:numId w:val="16"/>
        </w:numPr>
        <w:tabs>
          <w:tab w:val="left" w:pos="-1440"/>
        </w:tabs>
        <w:snapToGrid w:val="0"/>
        <w:jc w:val="both"/>
        <w:rPr>
          <w:rFonts w:cs="Times New Roman"/>
          <w:b/>
          <w:lang w:val="fr-FR"/>
        </w:rPr>
      </w:pPr>
      <w:r w:rsidRPr="00550848">
        <w:rPr>
          <w:rFonts w:cs="Times New Roman"/>
          <w:b/>
          <w:lang w:val="fr-FR"/>
        </w:rPr>
        <w:t>Conclusion :</w:t>
      </w:r>
    </w:p>
    <w:p w:rsidR="007D258B" w:rsidRPr="0029469C" w:rsidRDefault="007D258B" w:rsidP="007D258B">
      <w:pPr>
        <w:tabs>
          <w:tab w:val="left" w:pos="-1440"/>
        </w:tabs>
        <w:snapToGrid w:val="0"/>
        <w:jc w:val="both"/>
        <w:rPr>
          <w:rFonts w:cs="Times New Roman"/>
          <w:lang w:val="fr-FR"/>
        </w:rPr>
      </w:pPr>
    </w:p>
    <w:p w:rsidR="007D258B" w:rsidRDefault="007D258B" w:rsidP="007D258B">
      <w:pPr>
        <w:tabs>
          <w:tab w:val="left" w:pos="-1440"/>
        </w:tabs>
        <w:snapToGrid w:val="0"/>
        <w:jc w:val="both"/>
        <w:rPr>
          <w:rFonts w:cs="Times New Roman"/>
          <w:lang w:val="fr-FR"/>
        </w:rPr>
      </w:pPr>
      <w:r w:rsidRPr="0029469C">
        <w:rPr>
          <w:rFonts w:cs="Times New Roman"/>
          <w:lang w:val="fr-FR"/>
        </w:rPr>
        <w:t>La partie demanderesse doit être indemnisée</w:t>
      </w:r>
      <w:r>
        <w:rPr>
          <w:rFonts w:cs="Times New Roman"/>
          <w:lang w:val="fr-FR"/>
        </w:rPr>
        <w:t> </w:t>
      </w:r>
      <w:r w:rsidRPr="00CD16CC">
        <w:rPr>
          <w:rFonts w:cs="Times New Roman"/>
          <w:lang w:val="fr-FR"/>
        </w:rPr>
        <w:t>à raison d’un taux global d’incapacité permanente partielle de</w:t>
      </w:r>
      <w:r>
        <w:rPr>
          <w:rFonts w:cs="Times New Roman"/>
          <w:lang w:val="fr-FR"/>
        </w:rPr>
        <w:t> :</w:t>
      </w:r>
    </w:p>
    <w:p w:rsidR="007D258B" w:rsidRDefault="007D258B" w:rsidP="007D258B">
      <w:pPr>
        <w:tabs>
          <w:tab w:val="left" w:pos="-1440"/>
        </w:tabs>
        <w:snapToGrid w:val="0"/>
        <w:jc w:val="both"/>
        <w:rPr>
          <w:rFonts w:cs="Times New Roman"/>
          <w:lang w:val="fr-FR"/>
        </w:rPr>
      </w:pPr>
    </w:p>
    <w:p w:rsidR="007D258B" w:rsidRPr="00433DAA" w:rsidRDefault="007D258B" w:rsidP="007D258B">
      <w:pPr>
        <w:pStyle w:val="Paragraphedeliste"/>
        <w:numPr>
          <w:ilvl w:val="0"/>
          <w:numId w:val="7"/>
        </w:numPr>
        <w:tabs>
          <w:tab w:val="left" w:pos="-1440"/>
        </w:tabs>
        <w:snapToGrid w:val="0"/>
        <w:jc w:val="both"/>
        <w:rPr>
          <w:rFonts w:cs="Times New Roman"/>
          <w:lang w:val="fr-FR"/>
        </w:rPr>
      </w:pPr>
      <w:r>
        <w:rPr>
          <w:rFonts w:cs="Times New Roman"/>
          <w:b/>
          <w:lang w:val="fr-FR"/>
        </w:rPr>
        <w:t>0</w:t>
      </w:r>
      <w:r w:rsidR="0004150F">
        <w:rPr>
          <w:rFonts w:cs="Times New Roman"/>
          <w:b/>
          <w:lang w:val="fr-FR"/>
        </w:rPr>
        <w:t>9</w:t>
      </w:r>
      <w:r>
        <w:rPr>
          <w:rFonts w:cs="Times New Roman"/>
          <w:b/>
          <w:lang w:val="fr-FR"/>
        </w:rPr>
        <w:t xml:space="preserve"> % du </w:t>
      </w:r>
      <w:r w:rsidR="0004150F">
        <w:rPr>
          <w:rFonts w:cs="Times New Roman"/>
          <w:b/>
          <w:lang w:val="fr-FR"/>
        </w:rPr>
        <w:t>03 juillet 2017 jusqu’au 02 mai 2018</w:t>
      </w:r>
      <w:r>
        <w:rPr>
          <w:rFonts w:cs="Times New Roman"/>
          <w:b/>
          <w:lang w:val="fr-FR"/>
        </w:rPr>
        <w:t>,</w:t>
      </w:r>
    </w:p>
    <w:p w:rsidR="007D258B" w:rsidRPr="00433DAA" w:rsidRDefault="007D258B" w:rsidP="007D258B">
      <w:pPr>
        <w:pStyle w:val="Paragraphedeliste"/>
        <w:numPr>
          <w:ilvl w:val="0"/>
          <w:numId w:val="7"/>
        </w:numPr>
        <w:tabs>
          <w:tab w:val="left" w:pos="-1440"/>
        </w:tabs>
        <w:snapToGrid w:val="0"/>
        <w:jc w:val="both"/>
        <w:rPr>
          <w:rFonts w:cs="Times New Roman"/>
          <w:lang w:val="fr-FR"/>
        </w:rPr>
      </w:pPr>
      <w:r>
        <w:rPr>
          <w:rFonts w:cs="Times New Roman"/>
          <w:b/>
          <w:lang w:val="fr-FR"/>
        </w:rPr>
        <w:t>0</w:t>
      </w:r>
      <w:r w:rsidR="0004150F">
        <w:rPr>
          <w:rFonts w:cs="Times New Roman"/>
          <w:b/>
          <w:lang w:val="fr-FR"/>
        </w:rPr>
        <w:t>7</w:t>
      </w:r>
      <w:r>
        <w:rPr>
          <w:rFonts w:cs="Times New Roman"/>
          <w:b/>
          <w:lang w:val="fr-FR"/>
        </w:rPr>
        <w:t xml:space="preserve"> % </w:t>
      </w:r>
      <w:r w:rsidR="0004150F">
        <w:rPr>
          <w:rFonts w:cs="Times New Roman"/>
          <w:b/>
          <w:lang w:val="fr-FR"/>
        </w:rPr>
        <w:t>à partir du 05 décembre 2018.</w:t>
      </w:r>
    </w:p>
    <w:p w:rsidR="007D258B" w:rsidRDefault="007D258B" w:rsidP="007D258B">
      <w:pPr>
        <w:tabs>
          <w:tab w:val="left" w:pos="-1440"/>
        </w:tabs>
        <w:snapToGrid w:val="0"/>
        <w:jc w:val="both"/>
        <w:rPr>
          <w:rFonts w:cs="Times New Roman"/>
        </w:rPr>
      </w:pPr>
    </w:p>
    <w:p w:rsidR="00EF2807" w:rsidRDefault="00EF2807" w:rsidP="00EF2807">
      <w:pPr>
        <w:tabs>
          <w:tab w:val="left" w:pos="-1440"/>
        </w:tabs>
        <w:snapToGrid w:val="0"/>
        <w:jc w:val="both"/>
        <w:rPr>
          <w:rFonts w:cs="Times New Roman"/>
          <w:lang w:val="fr-FR"/>
        </w:rPr>
      </w:pPr>
      <w:r>
        <w:rPr>
          <w:rFonts w:cs="Times New Roman"/>
          <w:lang w:val="fr-FR"/>
        </w:rPr>
        <w:t>I</w:t>
      </w:r>
      <w:r w:rsidRPr="00783B2C">
        <w:rPr>
          <w:rFonts w:cs="Times New Roman"/>
          <w:lang w:val="fr-FR"/>
        </w:rPr>
        <w:t>l y a lieu</w:t>
      </w:r>
      <w:r w:rsidR="004E74BC">
        <w:rPr>
          <w:rFonts w:cs="Times New Roman"/>
          <w:lang w:val="fr-FR"/>
        </w:rPr>
        <w:t xml:space="preserve"> également</w:t>
      </w:r>
      <w:r w:rsidRPr="00783B2C">
        <w:rPr>
          <w:rFonts w:cs="Times New Roman"/>
          <w:lang w:val="fr-FR"/>
        </w:rPr>
        <w:t xml:space="preserve"> de reconnaitre une incapacité temporaire totale du </w:t>
      </w:r>
      <w:r>
        <w:rPr>
          <w:rFonts w:cs="Times New Roman"/>
          <w:lang w:val="fr-FR"/>
        </w:rPr>
        <w:t xml:space="preserve">3 mai 2018 jusqu’au 04 décembre </w:t>
      </w:r>
      <w:r w:rsidRPr="00783B2C">
        <w:rPr>
          <w:rFonts w:cs="Times New Roman"/>
          <w:lang w:val="fr-FR"/>
        </w:rPr>
        <w:t>2018.</w:t>
      </w:r>
    </w:p>
    <w:p w:rsidR="00EF2807" w:rsidRDefault="00EF2807" w:rsidP="007D258B">
      <w:pPr>
        <w:tabs>
          <w:tab w:val="left" w:pos="-1440"/>
        </w:tabs>
        <w:snapToGrid w:val="0"/>
        <w:jc w:val="both"/>
        <w:rPr>
          <w:rFonts w:cs="Times New Roman"/>
        </w:rPr>
      </w:pPr>
    </w:p>
    <w:p w:rsidR="00EF2807" w:rsidRDefault="00EF2807" w:rsidP="007D258B">
      <w:pPr>
        <w:tabs>
          <w:tab w:val="left" w:pos="-1440"/>
        </w:tabs>
        <w:snapToGrid w:val="0"/>
        <w:jc w:val="both"/>
        <w:rPr>
          <w:rFonts w:cs="Times New Roman"/>
        </w:rPr>
      </w:pPr>
    </w:p>
    <w:p w:rsidR="007D258B" w:rsidRPr="00550848" w:rsidRDefault="007D258B" w:rsidP="007D258B">
      <w:pPr>
        <w:pStyle w:val="Paragraphedeliste"/>
        <w:numPr>
          <w:ilvl w:val="0"/>
          <w:numId w:val="16"/>
        </w:numPr>
        <w:tabs>
          <w:tab w:val="left" w:pos="-1440"/>
        </w:tabs>
        <w:snapToGrid w:val="0"/>
        <w:jc w:val="both"/>
        <w:rPr>
          <w:rFonts w:cs="Times New Roman"/>
          <w:b/>
          <w:lang w:val="fr-FR"/>
        </w:rPr>
      </w:pPr>
      <w:r w:rsidRPr="00550848">
        <w:rPr>
          <w:rFonts w:cs="Times New Roman"/>
          <w:b/>
          <w:lang w:val="fr-FR"/>
        </w:rPr>
        <w:t>Les intérêts de retard.</w:t>
      </w:r>
    </w:p>
    <w:p w:rsidR="007D258B" w:rsidRPr="0029469C" w:rsidRDefault="007D258B" w:rsidP="007D258B">
      <w:pPr>
        <w:tabs>
          <w:tab w:val="left" w:pos="-1440"/>
        </w:tabs>
        <w:snapToGrid w:val="0"/>
        <w:jc w:val="both"/>
        <w:rPr>
          <w:rFonts w:cs="Times New Roman"/>
          <w:b/>
          <w:lang w:val="fr-FR"/>
        </w:rPr>
      </w:pPr>
    </w:p>
    <w:p w:rsidR="00EF2807" w:rsidRPr="00783B2C" w:rsidRDefault="00EF2807" w:rsidP="00EF2807">
      <w:pPr>
        <w:jc w:val="both"/>
        <w:rPr>
          <w:rFonts w:cs="Times New Roman"/>
        </w:rPr>
      </w:pPr>
      <w:r w:rsidRPr="00783B2C">
        <w:rPr>
          <w:rFonts w:cs="Times New Roman"/>
        </w:rPr>
        <w:t>En vertu de l’article 20 de la Charte de l’assuré social, les prestations portent intérêt de plein droit à partir de la date de leur exigibilité et au plus tôt à partir de la date découlant de l'application de l'article 12. Toutefois, si la décision d'octroi est prise avec un retard imputable à une institution de sécurité sociale, les intérêts sont dus à partir de l'expiration du délai visé à l'article 10 et au plus tôt à partir de la date de prise de cours de la prestation.</w:t>
      </w:r>
    </w:p>
    <w:p w:rsidR="00EF2807" w:rsidRPr="00783B2C" w:rsidRDefault="00EF2807" w:rsidP="00EF2807">
      <w:pPr>
        <w:jc w:val="both"/>
        <w:rPr>
          <w:rFonts w:cs="Times New Roman"/>
        </w:rPr>
      </w:pPr>
    </w:p>
    <w:p w:rsidR="00EF2807" w:rsidRPr="00783B2C" w:rsidRDefault="00EF2807" w:rsidP="00EF2807">
      <w:pPr>
        <w:jc w:val="both"/>
        <w:rPr>
          <w:rFonts w:cs="Times New Roman"/>
        </w:rPr>
      </w:pPr>
      <w:r w:rsidRPr="00783B2C">
        <w:rPr>
          <w:rFonts w:cs="Times New Roman"/>
        </w:rPr>
        <w:t xml:space="preserve">L’article 10 de la Charte prévoit </w:t>
      </w:r>
      <w:r>
        <w:rPr>
          <w:rFonts w:cs="Times New Roman"/>
        </w:rPr>
        <w:t>notamment</w:t>
      </w:r>
      <w:r w:rsidRPr="00783B2C">
        <w:rPr>
          <w:rFonts w:cs="Times New Roman"/>
        </w:rPr>
        <w:t xml:space="preserve"> que l'institution de sécurité sociale statue au plus tard dans les quatre mois de la réception de la demande tandis que l’article 12 de la Charte </w:t>
      </w:r>
      <w:r>
        <w:rPr>
          <w:rFonts w:cs="Times New Roman"/>
        </w:rPr>
        <w:t>indique</w:t>
      </w:r>
      <w:r w:rsidRPr="00783B2C">
        <w:rPr>
          <w:rFonts w:cs="Times New Roman"/>
        </w:rPr>
        <w:t xml:space="preserve"> qu’il est procédé au paiement des prestations au plus tard dans les 4 mois de la notification de la décision d’octroi.</w:t>
      </w:r>
    </w:p>
    <w:p w:rsidR="00EF2807" w:rsidRPr="00783B2C" w:rsidRDefault="00EF2807" w:rsidP="00EF2807">
      <w:pPr>
        <w:jc w:val="both"/>
        <w:rPr>
          <w:rFonts w:cs="Times New Roman"/>
          <w:b/>
          <w:u w:val="single"/>
        </w:rPr>
      </w:pPr>
    </w:p>
    <w:p w:rsidR="00EF2807" w:rsidRDefault="00EF2807" w:rsidP="00EF2807">
      <w:pPr>
        <w:jc w:val="both"/>
        <w:rPr>
          <w:rFonts w:cs="Times New Roman"/>
        </w:rPr>
      </w:pPr>
      <w:r w:rsidRPr="00783B2C">
        <w:rPr>
          <w:rFonts w:cs="Times New Roman"/>
        </w:rPr>
        <w:t>La décision de F</w:t>
      </w:r>
      <w:r>
        <w:rPr>
          <w:rFonts w:cs="Times New Roman"/>
        </w:rPr>
        <w:t>EDRIS</w:t>
      </w:r>
      <w:r w:rsidRPr="00783B2C">
        <w:rPr>
          <w:rFonts w:cs="Times New Roman"/>
        </w:rPr>
        <w:t xml:space="preserve"> n’a pas été prise dans le délai de 4 mois prévu à l’article 10 de la charte de l’assuré social.</w:t>
      </w:r>
    </w:p>
    <w:p w:rsidR="00EF2807" w:rsidRPr="00783B2C" w:rsidRDefault="00EF2807" w:rsidP="00EF2807">
      <w:pPr>
        <w:jc w:val="both"/>
        <w:rPr>
          <w:rFonts w:cs="Times New Roman"/>
        </w:rPr>
      </w:pPr>
      <w:r>
        <w:rPr>
          <w:rFonts w:cs="Times New Roman"/>
        </w:rPr>
        <w:t>En effet, la demande fut introduite le 12 février 2019 et la décision de FEDRIS date du 29 octobre 2019.</w:t>
      </w:r>
    </w:p>
    <w:p w:rsidR="00EF2807" w:rsidRPr="00783B2C" w:rsidRDefault="00EF2807" w:rsidP="00EF2807">
      <w:pPr>
        <w:jc w:val="both"/>
        <w:rPr>
          <w:rFonts w:cs="Times New Roman"/>
        </w:rPr>
      </w:pPr>
    </w:p>
    <w:p w:rsidR="00EF2807" w:rsidRDefault="00EF2807" w:rsidP="00EF2807">
      <w:pPr>
        <w:jc w:val="both"/>
        <w:rPr>
          <w:rFonts w:cs="Times New Roman"/>
        </w:rPr>
      </w:pPr>
      <w:r w:rsidRPr="00D31CBA">
        <w:rPr>
          <w:rFonts w:cs="Times New Roman"/>
        </w:rPr>
        <w:t>Dès lors, les intérêts sont dus sur pied de l’article 20 de la charte de l’assuré social</w:t>
      </w:r>
      <w:r>
        <w:rPr>
          <w:rFonts w:cs="Times New Roman"/>
        </w:rPr>
        <w:t xml:space="preserve"> précité</w:t>
      </w:r>
      <w:r w:rsidRPr="00D31CBA">
        <w:rPr>
          <w:rFonts w:cs="Times New Roman"/>
        </w:rPr>
        <w:t xml:space="preserve"> à partir du </w:t>
      </w:r>
      <w:r>
        <w:rPr>
          <w:rFonts w:cs="Times New Roman"/>
        </w:rPr>
        <w:t>13 juin 2019</w:t>
      </w:r>
      <w:r w:rsidRPr="00D31CBA">
        <w:rPr>
          <w:rFonts w:cs="Times New Roman"/>
        </w:rPr>
        <w:t xml:space="preserve"> jusqu’au </w:t>
      </w:r>
      <w:r>
        <w:rPr>
          <w:rFonts w:cs="Times New Roman"/>
        </w:rPr>
        <w:t>12 février 2020</w:t>
      </w:r>
      <w:r w:rsidRPr="00D31CBA">
        <w:rPr>
          <w:rFonts w:cs="Times New Roman"/>
        </w:rPr>
        <w:t xml:space="preserve"> et ensuite les intérêts judiciaires </w:t>
      </w:r>
      <w:r>
        <w:rPr>
          <w:rFonts w:cs="Times New Roman"/>
        </w:rPr>
        <w:t>sont dus à partir du 13 février 2020</w:t>
      </w:r>
      <w:r w:rsidRPr="00D31CBA">
        <w:rPr>
          <w:rFonts w:cs="Times New Roman"/>
        </w:rPr>
        <w:t>.</w:t>
      </w:r>
    </w:p>
    <w:p w:rsidR="00014E4B" w:rsidRDefault="00014E4B" w:rsidP="00EF2807">
      <w:pPr>
        <w:jc w:val="both"/>
        <w:rPr>
          <w:rFonts w:cs="Times New Roman"/>
        </w:rPr>
      </w:pPr>
    </w:p>
    <w:p w:rsidR="007D258B" w:rsidRPr="00433DAA" w:rsidRDefault="007D258B" w:rsidP="007D258B">
      <w:pPr>
        <w:tabs>
          <w:tab w:val="left" w:pos="-4962"/>
          <w:tab w:val="left" w:pos="-4820"/>
          <w:tab w:val="left" w:pos="-3544"/>
          <w:tab w:val="left" w:pos="-3402"/>
          <w:tab w:val="left" w:pos="-3261"/>
          <w:tab w:val="left" w:pos="-3119"/>
          <w:tab w:val="left" w:pos="-1276"/>
        </w:tabs>
        <w:jc w:val="both"/>
        <w:rPr>
          <w:rFonts w:cs="Times New Roman"/>
          <w:bCs/>
        </w:rPr>
      </w:pPr>
    </w:p>
    <w:p w:rsidR="007D258B" w:rsidRPr="0029469C" w:rsidRDefault="007D258B" w:rsidP="007D258B">
      <w:pPr>
        <w:tabs>
          <w:tab w:val="left" w:pos="-1440"/>
        </w:tabs>
        <w:snapToGrid w:val="0"/>
        <w:jc w:val="center"/>
        <w:rPr>
          <w:rFonts w:cs="Times New Roman"/>
          <w:b/>
          <w:bCs/>
          <w:lang w:val="fr-FR"/>
        </w:rPr>
      </w:pPr>
      <w:r w:rsidRPr="0029469C">
        <w:rPr>
          <w:rFonts w:cs="Times New Roman"/>
          <w:b/>
          <w:bCs/>
          <w:lang w:val="fr-FR"/>
        </w:rPr>
        <w:t>PAR CES MOTIFS,</w:t>
      </w:r>
    </w:p>
    <w:p w:rsidR="007D258B" w:rsidRPr="0029469C" w:rsidRDefault="007D258B" w:rsidP="007D258B">
      <w:pPr>
        <w:tabs>
          <w:tab w:val="left" w:pos="-1440"/>
        </w:tabs>
        <w:snapToGrid w:val="0"/>
        <w:jc w:val="both"/>
        <w:rPr>
          <w:rFonts w:cs="Times New Roman"/>
          <w:b/>
          <w:bCs/>
          <w:lang w:val="fr-FR"/>
        </w:rPr>
      </w:pPr>
    </w:p>
    <w:p w:rsidR="007D258B" w:rsidRPr="0029469C" w:rsidRDefault="007D258B" w:rsidP="007D258B">
      <w:pPr>
        <w:tabs>
          <w:tab w:val="left" w:pos="-1440"/>
        </w:tabs>
        <w:snapToGrid w:val="0"/>
        <w:jc w:val="both"/>
        <w:rPr>
          <w:rFonts w:cs="Times New Roman"/>
          <w:b/>
          <w:bCs/>
          <w:lang w:val="fr-FR"/>
        </w:rPr>
      </w:pPr>
      <w:r w:rsidRPr="00AD1FF9">
        <w:rPr>
          <w:rFonts w:cs="Times New Roman"/>
          <w:b/>
          <w:bCs/>
          <w:caps/>
          <w:lang w:val="fr-FR"/>
        </w:rPr>
        <w:t>Le tribunal</w:t>
      </w:r>
      <w:r w:rsidRPr="00AD1FF9">
        <w:rPr>
          <w:rFonts w:cs="Times New Roman"/>
          <w:bCs/>
          <w:caps/>
          <w:lang w:val="fr-FR"/>
        </w:rPr>
        <w:t>,</w:t>
      </w:r>
      <w:r w:rsidRPr="0029469C">
        <w:rPr>
          <w:rFonts w:cs="Times New Roman"/>
          <w:bCs/>
          <w:lang w:val="fr-FR"/>
        </w:rPr>
        <w:t xml:space="preserve"> après en avoir délibéré ;</w:t>
      </w:r>
    </w:p>
    <w:p w:rsidR="007D258B" w:rsidRPr="0029469C" w:rsidRDefault="007D258B" w:rsidP="007D258B">
      <w:pPr>
        <w:tabs>
          <w:tab w:val="left" w:pos="-1440"/>
        </w:tabs>
        <w:snapToGrid w:val="0"/>
        <w:jc w:val="both"/>
        <w:rPr>
          <w:rFonts w:cs="Times New Roman"/>
          <w:b/>
          <w:bCs/>
          <w:lang w:val="fr-FR"/>
        </w:rPr>
      </w:pPr>
    </w:p>
    <w:p w:rsidR="007D258B" w:rsidRPr="0029469C" w:rsidRDefault="007D258B" w:rsidP="007D258B">
      <w:pPr>
        <w:tabs>
          <w:tab w:val="left" w:pos="-1440"/>
        </w:tabs>
        <w:snapToGrid w:val="0"/>
        <w:jc w:val="both"/>
        <w:rPr>
          <w:rFonts w:cs="Times New Roman"/>
          <w:b/>
          <w:bCs/>
          <w:lang w:val="fr-FR"/>
        </w:rPr>
      </w:pPr>
      <w:r w:rsidRPr="00AD1FF9">
        <w:rPr>
          <w:rFonts w:cs="Times New Roman"/>
          <w:b/>
          <w:bCs/>
          <w:caps/>
          <w:lang w:val="fr-FR"/>
        </w:rPr>
        <w:t>Statuant</w:t>
      </w:r>
      <w:r w:rsidRPr="00AD1FF9">
        <w:rPr>
          <w:rFonts w:cs="Times New Roman"/>
          <w:bCs/>
          <w:caps/>
          <w:lang w:val="fr-FR"/>
        </w:rPr>
        <w:t>,</w:t>
      </w:r>
      <w:r w:rsidRPr="0029469C">
        <w:rPr>
          <w:rFonts w:cs="Times New Roman"/>
          <w:bCs/>
          <w:lang w:val="fr-FR"/>
        </w:rPr>
        <w:t xml:space="preserve"> publiquement, contradictoirement et définitivement ;</w:t>
      </w:r>
    </w:p>
    <w:p w:rsidR="007D258B" w:rsidRPr="0029469C" w:rsidRDefault="007D258B" w:rsidP="007D258B">
      <w:pPr>
        <w:tabs>
          <w:tab w:val="left" w:pos="-1440"/>
        </w:tabs>
        <w:snapToGrid w:val="0"/>
        <w:jc w:val="both"/>
        <w:rPr>
          <w:rFonts w:cs="Times New Roman"/>
          <w:b/>
          <w:bCs/>
          <w:lang w:val="fr-FR"/>
        </w:rPr>
      </w:pPr>
    </w:p>
    <w:p w:rsidR="007D258B" w:rsidRPr="0029469C" w:rsidRDefault="007D258B" w:rsidP="007D258B">
      <w:pPr>
        <w:tabs>
          <w:tab w:val="left" w:pos="-1440"/>
        </w:tabs>
        <w:snapToGrid w:val="0"/>
        <w:jc w:val="both"/>
        <w:rPr>
          <w:rFonts w:cs="Times New Roman"/>
          <w:b/>
          <w:lang w:val="fr-FR"/>
        </w:rPr>
      </w:pPr>
      <w:r w:rsidRPr="0029469C">
        <w:rPr>
          <w:rFonts w:cs="Times New Roman"/>
          <w:b/>
          <w:lang w:val="fr-FR"/>
        </w:rPr>
        <w:t>ENTERINE le rapport de l’expert ;</w:t>
      </w:r>
    </w:p>
    <w:p w:rsidR="007D258B" w:rsidRDefault="007D258B" w:rsidP="007D258B">
      <w:pPr>
        <w:tabs>
          <w:tab w:val="left" w:pos="-1440"/>
        </w:tabs>
        <w:snapToGrid w:val="0"/>
        <w:jc w:val="both"/>
        <w:rPr>
          <w:rFonts w:cs="Times New Roman"/>
          <w:b/>
          <w:lang w:val="fr-FR"/>
        </w:rPr>
      </w:pPr>
    </w:p>
    <w:p w:rsidR="007D258B" w:rsidRPr="0029469C" w:rsidRDefault="007D258B" w:rsidP="007D258B">
      <w:pPr>
        <w:tabs>
          <w:tab w:val="left" w:pos="-1440"/>
        </w:tabs>
        <w:snapToGrid w:val="0"/>
        <w:jc w:val="both"/>
        <w:rPr>
          <w:rFonts w:cs="Times New Roman"/>
          <w:lang w:val="fr-FR"/>
        </w:rPr>
      </w:pPr>
      <w:r w:rsidRPr="0029469C">
        <w:rPr>
          <w:rFonts w:cs="Times New Roman"/>
          <w:b/>
          <w:lang w:val="fr-FR"/>
        </w:rPr>
        <w:t xml:space="preserve">DIT l’action </w:t>
      </w:r>
      <w:r w:rsidRPr="0029469C">
        <w:rPr>
          <w:rFonts w:cs="Times New Roman"/>
          <w:b/>
          <w:bCs/>
          <w:lang w:val="fr-FR"/>
        </w:rPr>
        <w:t>fondée dans les limites ci-après ;</w:t>
      </w:r>
    </w:p>
    <w:p w:rsidR="007D258B" w:rsidRPr="0029469C" w:rsidRDefault="007D258B" w:rsidP="007D258B">
      <w:pPr>
        <w:tabs>
          <w:tab w:val="left" w:pos="-1440"/>
        </w:tabs>
        <w:snapToGrid w:val="0"/>
        <w:jc w:val="both"/>
        <w:rPr>
          <w:rFonts w:cs="Times New Roman"/>
          <w:b/>
          <w:lang w:val="fr-FR"/>
        </w:rPr>
      </w:pPr>
    </w:p>
    <w:p w:rsidR="007D258B" w:rsidRPr="00AE460D" w:rsidRDefault="007D258B" w:rsidP="007D258B">
      <w:pPr>
        <w:tabs>
          <w:tab w:val="left" w:pos="-1440"/>
        </w:tabs>
        <w:snapToGrid w:val="0"/>
        <w:jc w:val="both"/>
        <w:rPr>
          <w:rFonts w:cs="Times New Roman"/>
          <w:lang w:val="fr-FR"/>
        </w:rPr>
      </w:pPr>
      <w:r w:rsidRPr="0029469C">
        <w:rPr>
          <w:rFonts w:cs="Times New Roman"/>
          <w:b/>
          <w:lang w:val="fr-FR"/>
        </w:rPr>
        <w:t>DIT POUR DROIT</w:t>
      </w:r>
      <w:r w:rsidRPr="0029469C">
        <w:rPr>
          <w:rFonts w:cs="Times New Roman"/>
          <w:lang w:val="fr-FR"/>
        </w:rPr>
        <w:t xml:space="preserve"> que la partie demanderesse est atteinte d’une maladie professionnelle  reprise sous le code </w:t>
      </w:r>
      <w:r>
        <w:rPr>
          <w:rFonts w:cs="Times New Roman"/>
          <w:lang w:val="fr-FR"/>
        </w:rPr>
        <w:t>1.606.22 ;</w:t>
      </w:r>
    </w:p>
    <w:p w:rsidR="007D258B" w:rsidRDefault="007D258B" w:rsidP="007D258B">
      <w:pPr>
        <w:tabs>
          <w:tab w:val="left" w:pos="-1440"/>
        </w:tabs>
        <w:snapToGrid w:val="0"/>
        <w:jc w:val="both"/>
        <w:rPr>
          <w:rFonts w:cs="Times New Roman"/>
          <w:lang w:val="fr-FR"/>
        </w:rPr>
      </w:pPr>
    </w:p>
    <w:p w:rsidR="004E74BC" w:rsidRDefault="004E74BC" w:rsidP="004E74BC">
      <w:pPr>
        <w:tabs>
          <w:tab w:val="left" w:pos="-1440"/>
        </w:tabs>
        <w:snapToGrid w:val="0"/>
        <w:jc w:val="both"/>
        <w:rPr>
          <w:rFonts w:cs="Times New Roman"/>
          <w:lang w:val="fr-FR"/>
        </w:rPr>
      </w:pPr>
      <w:r w:rsidRPr="00FA7793">
        <w:rPr>
          <w:rFonts w:cs="Times New Roman"/>
          <w:b/>
          <w:lang w:val="fr-FR"/>
        </w:rPr>
        <w:t>DIT POUR DROIT</w:t>
      </w:r>
      <w:r>
        <w:rPr>
          <w:rFonts w:cs="Times New Roman"/>
          <w:lang w:val="fr-FR"/>
        </w:rPr>
        <w:t xml:space="preserve"> qu’il y a lieu de reconnaître une incapacité temporaire totale (I.T.T.-100 %) du </w:t>
      </w:r>
      <w:r>
        <w:rPr>
          <w:rFonts w:cs="Times New Roman"/>
          <w:b/>
          <w:lang w:val="fr-FR"/>
        </w:rPr>
        <w:t>03 mai 2018 jusqu’au 04 décembre 2018 ;</w:t>
      </w:r>
    </w:p>
    <w:p w:rsidR="004E74BC" w:rsidRDefault="004E74BC" w:rsidP="007D258B">
      <w:pPr>
        <w:tabs>
          <w:tab w:val="left" w:pos="-1440"/>
        </w:tabs>
        <w:snapToGrid w:val="0"/>
        <w:jc w:val="both"/>
        <w:rPr>
          <w:rFonts w:cs="Times New Roman"/>
          <w:lang w:val="fr-FR"/>
        </w:rPr>
      </w:pPr>
    </w:p>
    <w:p w:rsidR="004E74BC" w:rsidRDefault="004E74BC" w:rsidP="007D258B">
      <w:pPr>
        <w:tabs>
          <w:tab w:val="left" w:pos="-1440"/>
        </w:tabs>
        <w:snapToGrid w:val="0"/>
        <w:jc w:val="both"/>
        <w:rPr>
          <w:rFonts w:cs="Times New Roman"/>
          <w:lang w:val="fr-FR"/>
        </w:rPr>
      </w:pPr>
    </w:p>
    <w:p w:rsidR="007D258B" w:rsidRDefault="007D258B" w:rsidP="007D258B">
      <w:pPr>
        <w:tabs>
          <w:tab w:val="left" w:pos="-1440"/>
        </w:tabs>
        <w:snapToGrid w:val="0"/>
        <w:jc w:val="both"/>
        <w:rPr>
          <w:rFonts w:cs="Times New Roman"/>
          <w:b/>
          <w:bCs/>
          <w:lang w:val="fr-FR"/>
        </w:rPr>
      </w:pPr>
      <w:r w:rsidRPr="00E05C43">
        <w:rPr>
          <w:rFonts w:cs="Times New Roman"/>
          <w:b/>
          <w:lang w:val="fr-FR"/>
        </w:rPr>
        <w:t>DIT POUR DROIT</w:t>
      </w:r>
      <w:r w:rsidRPr="00E05C43">
        <w:rPr>
          <w:rFonts w:cs="Times New Roman"/>
          <w:lang w:val="fr-FR"/>
        </w:rPr>
        <w:t xml:space="preserve"> que l’incapacité purement physique doit être fixée au taux de </w:t>
      </w:r>
      <w:r w:rsidRPr="00E05C43">
        <w:rPr>
          <w:rFonts w:cs="Times New Roman"/>
          <w:b/>
          <w:lang w:val="fr-FR"/>
        </w:rPr>
        <w:t>0</w:t>
      </w:r>
      <w:r w:rsidR="00EF2807">
        <w:rPr>
          <w:rFonts w:cs="Times New Roman"/>
          <w:b/>
          <w:lang w:val="fr-FR"/>
        </w:rPr>
        <w:t>6</w:t>
      </w:r>
      <w:r w:rsidRPr="00E05C43">
        <w:rPr>
          <w:rFonts w:cs="Times New Roman"/>
          <w:b/>
          <w:lang w:val="fr-FR"/>
        </w:rPr>
        <w:t xml:space="preserve">% </w:t>
      </w:r>
      <w:r w:rsidRPr="00E05C43">
        <w:rPr>
          <w:rFonts w:cs="Times New Roman"/>
          <w:b/>
          <w:bCs/>
          <w:lang w:val="fr-FR"/>
        </w:rPr>
        <w:t xml:space="preserve"> </w:t>
      </w:r>
      <w:r w:rsidRPr="00E05C43">
        <w:rPr>
          <w:rFonts w:cs="Times New Roman"/>
          <w:b/>
          <w:lang w:val="fr-FR"/>
        </w:rPr>
        <w:t xml:space="preserve">du </w:t>
      </w:r>
      <w:r w:rsidR="00EF2807">
        <w:rPr>
          <w:rFonts w:cs="Times New Roman"/>
          <w:b/>
          <w:lang w:val="fr-FR"/>
        </w:rPr>
        <w:t>3 juillet 2017</w:t>
      </w:r>
      <w:r w:rsidRPr="00E05C43">
        <w:rPr>
          <w:rFonts w:cs="Times New Roman"/>
          <w:b/>
          <w:lang w:val="fr-FR"/>
        </w:rPr>
        <w:t xml:space="preserve"> jusqu’au 0</w:t>
      </w:r>
      <w:r w:rsidR="00EF2807">
        <w:rPr>
          <w:rFonts w:cs="Times New Roman"/>
          <w:b/>
          <w:lang w:val="fr-FR"/>
        </w:rPr>
        <w:t>2 mai 2018</w:t>
      </w:r>
      <w:r w:rsidRPr="00E05C43">
        <w:rPr>
          <w:rFonts w:cs="Times New Roman"/>
          <w:b/>
          <w:lang w:val="fr-FR"/>
        </w:rPr>
        <w:t xml:space="preserve"> et de 0</w:t>
      </w:r>
      <w:r w:rsidR="00EF2807">
        <w:rPr>
          <w:rFonts w:cs="Times New Roman"/>
          <w:b/>
          <w:lang w:val="fr-FR"/>
        </w:rPr>
        <w:t>5</w:t>
      </w:r>
      <w:r w:rsidRPr="00E05C43">
        <w:rPr>
          <w:rFonts w:cs="Times New Roman"/>
          <w:b/>
          <w:lang w:val="fr-FR"/>
        </w:rPr>
        <w:t xml:space="preserve"> % à partir du </w:t>
      </w:r>
      <w:r w:rsidR="00EF2807">
        <w:rPr>
          <w:rFonts w:cs="Times New Roman"/>
          <w:b/>
          <w:lang w:val="fr-FR"/>
        </w:rPr>
        <w:t>05 décembre 2018.</w:t>
      </w:r>
      <w:r w:rsidR="00EF2807">
        <w:rPr>
          <w:rFonts w:cs="Times New Roman"/>
          <w:b/>
          <w:bCs/>
          <w:lang w:val="fr-FR"/>
        </w:rPr>
        <w:t xml:space="preserve"> </w:t>
      </w:r>
    </w:p>
    <w:p w:rsidR="007D258B" w:rsidRPr="00F34966" w:rsidRDefault="007D258B" w:rsidP="007D258B">
      <w:pPr>
        <w:tabs>
          <w:tab w:val="left" w:pos="-1440"/>
        </w:tabs>
        <w:snapToGrid w:val="0"/>
        <w:jc w:val="both"/>
        <w:rPr>
          <w:rFonts w:cs="Times New Roman"/>
          <w:b/>
          <w:lang w:val="fr-FR"/>
        </w:rPr>
      </w:pPr>
    </w:p>
    <w:p w:rsidR="007D258B" w:rsidRDefault="007D258B" w:rsidP="007D258B">
      <w:pPr>
        <w:tabs>
          <w:tab w:val="left" w:pos="-1440"/>
        </w:tabs>
        <w:snapToGrid w:val="0"/>
        <w:jc w:val="both"/>
        <w:rPr>
          <w:rFonts w:cs="Times New Roman"/>
          <w:b/>
          <w:bCs/>
          <w:lang w:val="fr-FR"/>
        </w:rPr>
      </w:pPr>
      <w:r w:rsidRPr="0029469C">
        <w:rPr>
          <w:rFonts w:cs="Times New Roman"/>
          <w:b/>
          <w:iCs/>
          <w:lang w:val="fr-FR"/>
        </w:rPr>
        <w:t>DIT POUR DROIT</w:t>
      </w:r>
      <w:r w:rsidRPr="0029469C">
        <w:rPr>
          <w:rFonts w:cs="Times New Roman"/>
          <w:iCs/>
          <w:lang w:val="fr-FR"/>
        </w:rPr>
        <w:t xml:space="preserve"> que le taux de</w:t>
      </w:r>
      <w:r>
        <w:rPr>
          <w:rFonts w:cs="Times New Roman"/>
          <w:iCs/>
          <w:lang w:val="fr-FR"/>
        </w:rPr>
        <w:t>s</w:t>
      </w:r>
      <w:r w:rsidRPr="0029469C">
        <w:rPr>
          <w:rFonts w:cs="Times New Roman"/>
          <w:iCs/>
          <w:lang w:val="fr-FR"/>
        </w:rPr>
        <w:t xml:space="preserve"> facteurs socio-économiques </w:t>
      </w:r>
      <w:r w:rsidRPr="0029469C">
        <w:rPr>
          <w:rFonts w:cs="Times New Roman"/>
          <w:bCs/>
          <w:lang w:val="fr-FR"/>
        </w:rPr>
        <w:t xml:space="preserve">doit être fixé à </w:t>
      </w:r>
      <w:r w:rsidRPr="0029469C">
        <w:rPr>
          <w:rFonts w:cs="Times New Roman"/>
          <w:b/>
          <w:bCs/>
          <w:lang w:val="fr-FR"/>
        </w:rPr>
        <w:t>0</w:t>
      </w:r>
      <w:r w:rsidR="00EF2807">
        <w:rPr>
          <w:rFonts w:cs="Times New Roman"/>
          <w:b/>
          <w:bCs/>
          <w:lang w:val="fr-FR"/>
        </w:rPr>
        <w:t>3</w:t>
      </w:r>
      <w:r w:rsidR="00215EF6">
        <w:rPr>
          <w:rFonts w:cs="Times New Roman"/>
          <w:b/>
          <w:bCs/>
          <w:lang w:val="fr-FR"/>
        </w:rPr>
        <w:t xml:space="preserve"> %</w:t>
      </w:r>
      <w:r>
        <w:rPr>
          <w:rFonts w:cs="Times New Roman"/>
          <w:b/>
          <w:bCs/>
          <w:lang w:val="fr-FR"/>
        </w:rPr>
        <w:t>, puis à 0</w:t>
      </w:r>
      <w:r w:rsidR="00EF2807">
        <w:rPr>
          <w:rFonts w:cs="Times New Roman"/>
          <w:b/>
          <w:bCs/>
          <w:lang w:val="fr-FR"/>
        </w:rPr>
        <w:t>2</w:t>
      </w:r>
      <w:r>
        <w:rPr>
          <w:rFonts w:cs="Times New Roman"/>
          <w:b/>
          <w:bCs/>
          <w:lang w:val="fr-FR"/>
        </w:rPr>
        <w:t xml:space="preserve"> %</w:t>
      </w:r>
      <w:r w:rsidRPr="0029469C">
        <w:rPr>
          <w:rFonts w:cs="Times New Roman"/>
          <w:b/>
          <w:bCs/>
          <w:lang w:val="fr-FR"/>
        </w:rPr>
        <w:t>;</w:t>
      </w:r>
    </w:p>
    <w:p w:rsidR="007D258B" w:rsidRPr="0029469C" w:rsidRDefault="007D258B" w:rsidP="007D258B">
      <w:pPr>
        <w:tabs>
          <w:tab w:val="left" w:pos="-1440"/>
        </w:tabs>
        <w:snapToGrid w:val="0"/>
        <w:jc w:val="both"/>
        <w:rPr>
          <w:rFonts w:cs="Times New Roman"/>
          <w:bCs/>
          <w:lang w:val="fr-FR"/>
        </w:rPr>
      </w:pPr>
    </w:p>
    <w:p w:rsidR="007D258B" w:rsidRDefault="007D258B" w:rsidP="007D258B">
      <w:pPr>
        <w:tabs>
          <w:tab w:val="left" w:pos="-1440"/>
        </w:tabs>
        <w:snapToGrid w:val="0"/>
        <w:jc w:val="both"/>
        <w:rPr>
          <w:rFonts w:cs="Times New Roman"/>
          <w:bCs/>
          <w:lang w:val="fr-FR"/>
        </w:rPr>
      </w:pPr>
      <w:r w:rsidRPr="0029469C">
        <w:rPr>
          <w:rFonts w:cs="Times New Roman"/>
          <w:b/>
          <w:lang w:val="fr-FR"/>
        </w:rPr>
        <w:t>CONDAMNE</w:t>
      </w:r>
      <w:r w:rsidRPr="0029469C">
        <w:rPr>
          <w:rFonts w:cs="Times New Roman"/>
          <w:lang w:val="fr-FR"/>
        </w:rPr>
        <w:t xml:space="preserve"> la partie défenderesse au paiement des indemnités légales sur base d’un taux d’in</w:t>
      </w:r>
      <w:r w:rsidRPr="0029469C">
        <w:rPr>
          <w:rFonts w:cs="Times New Roman"/>
          <w:bCs/>
          <w:lang w:val="fr-FR"/>
        </w:rPr>
        <w:t>capacité permanente partielle au taux global de</w:t>
      </w:r>
      <w:r>
        <w:rPr>
          <w:rFonts w:cs="Times New Roman"/>
          <w:bCs/>
          <w:lang w:val="fr-FR"/>
        </w:rPr>
        <w:t> :</w:t>
      </w:r>
    </w:p>
    <w:p w:rsidR="00EF2807" w:rsidRPr="00433DAA" w:rsidRDefault="00EF2807" w:rsidP="00EF2807">
      <w:pPr>
        <w:pStyle w:val="Paragraphedeliste"/>
        <w:numPr>
          <w:ilvl w:val="0"/>
          <w:numId w:val="7"/>
        </w:numPr>
        <w:tabs>
          <w:tab w:val="left" w:pos="-1440"/>
        </w:tabs>
        <w:snapToGrid w:val="0"/>
        <w:jc w:val="both"/>
        <w:rPr>
          <w:rFonts w:cs="Times New Roman"/>
          <w:lang w:val="fr-FR"/>
        </w:rPr>
      </w:pPr>
      <w:r>
        <w:rPr>
          <w:rFonts w:cs="Times New Roman"/>
          <w:b/>
          <w:lang w:val="fr-FR"/>
        </w:rPr>
        <w:t>09 % du 03 juillet 2017 jusqu’au 02 mai 2018,</w:t>
      </w:r>
    </w:p>
    <w:p w:rsidR="00EF2807" w:rsidRPr="00433DAA" w:rsidRDefault="00EF2807" w:rsidP="00EF2807">
      <w:pPr>
        <w:pStyle w:val="Paragraphedeliste"/>
        <w:numPr>
          <w:ilvl w:val="0"/>
          <w:numId w:val="7"/>
        </w:numPr>
        <w:tabs>
          <w:tab w:val="left" w:pos="-1440"/>
        </w:tabs>
        <w:snapToGrid w:val="0"/>
        <w:jc w:val="both"/>
        <w:rPr>
          <w:rFonts w:cs="Times New Roman"/>
          <w:lang w:val="fr-FR"/>
        </w:rPr>
      </w:pPr>
      <w:r>
        <w:rPr>
          <w:rFonts w:cs="Times New Roman"/>
          <w:b/>
          <w:lang w:val="fr-FR"/>
        </w:rPr>
        <w:t>07 % à partir du 05 décembre 2018.</w:t>
      </w:r>
    </w:p>
    <w:p w:rsidR="007D258B" w:rsidRDefault="007D258B" w:rsidP="007D258B">
      <w:pPr>
        <w:tabs>
          <w:tab w:val="left" w:pos="-1440"/>
        </w:tabs>
        <w:snapToGrid w:val="0"/>
        <w:jc w:val="both"/>
        <w:rPr>
          <w:rFonts w:cs="Times New Roman"/>
          <w:bCs/>
          <w:lang w:val="fr-FR"/>
        </w:rPr>
      </w:pPr>
    </w:p>
    <w:p w:rsidR="007D258B" w:rsidRDefault="007D258B" w:rsidP="007D258B">
      <w:pPr>
        <w:tabs>
          <w:tab w:val="left" w:pos="-1440"/>
        </w:tabs>
        <w:snapToGrid w:val="0"/>
        <w:jc w:val="both"/>
        <w:rPr>
          <w:rFonts w:cs="Times New Roman"/>
          <w:b/>
          <w:lang w:val="fr-FR"/>
        </w:rPr>
      </w:pPr>
    </w:p>
    <w:p w:rsidR="007D258B" w:rsidRPr="00587788" w:rsidRDefault="007D258B" w:rsidP="007D258B">
      <w:pPr>
        <w:tabs>
          <w:tab w:val="left" w:pos="-1440"/>
        </w:tabs>
        <w:snapToGrid w:val="0"/>
        <w:jc w:val="both"/>
        <w:rPr>
          <w:rFonts w:cs="Times New Roman"/>
          <w:lang w:val="fr-FR"/>
        </w:rPr>
      </w:pPr>
      <w:r w:rsidRPr="00587788">
        <w:rPr>
          <w:rFonts w:cs="Times New Roman"/>
          <w:b/>
          <w:lang w:val="fr-FR"/>
        </w:rPr>
        <w:t>DIT POUR DROIT</w:t>
      </w:r>
      <w:r w:rsidRPr="00587788">
        <w:rPr>
          <w:rFonts w:cs="Times New Roman"/>
          <w:lang w:val="fr-FR"/>
        </w:rPr>
        <w:t xml:space="preserve"> que la rémunération de base à </w:t>
      </w:r>
      <w:r w:rsidRPr="008D369D">
        <w:rPr>
          <w:rFonts w:cs="Times New Roman"/>
          <w:lang w:val="fr-FR"/>
        </w:rPr>
        <w:t>prendre en considération pour le calcul de</w:t>
      </w:r>
      <w:r>
        <w:rPr>
          <w:rFonts w:cs="Times New Roman"/>
          <w:lang w:val="fr-FR"/>
        </w:rPr>
        <w:t xml:space="preserve"> l’incapacité permanente partielle s’élève à la somme de </w:t>
      </w:r>
      <w:r>
        <w:rPr>
          <w:rFonts w:cs="Times New Roman"/>
          <w:b/>
          <w:lang w:val="fr-FR"/>
        </w:rPr>
        <w:t>26.</w:t>
      </w:r>
      <w:r w:rsidR="00BB1908">
        <w:rPr>
          <w:rFonts w:cs="Times New Roman"/>
          <w:b/>
          <w:lang w:val="fr-FR"/>
        </w:rPr>
        <w:t xml:space="preserve">612,80 € </w:t>
      </w:r>
      <w:r w:rsidR="00BB1908">
        <w:rPr>
          <w:rFonts w:cs="Times New Roman"/>
          <w:lang w:val="fr-FR"/>
        </w:rPr>
        <w:t xml:space="preserve">pour l’incapacité temporaire totale et de </w:t>
      </w:r>
      <w:r w:rsidR="00BB1908">
        <w:rPr>
          <w:rFonts w:cs="Times New Roman"/>
          <w:b/>
          <w:lang w:val="fr-FR"/>
        </w:rPr>
        <w:t>31.033,19</w:t>
      </w:r>
      <w:r>
        <w:rPr>
          <w:rFonts w:cs="Times New Roman"/>
          <w:b/>
          <w:lang w:val="fr-FR"/>
        </w:rPr>
        <w:t>€</w:t>
      </w:r>
      <w:r w:rsidR="00BB1908">
        <w:rPr>
          <w:rFonts w:cs="Times New Roman"/>
          <w:b/>
          <w:lang w:val="fr-FR"/>
        </w:rPr>
        <w:t xml:space="preserve"> </w:t>
      </w:r>
      <w:r w:rsidR="00BB1908">
        <w:rPr>
          <w:rFonts w:cs="Times New Roman"/>
          <w:lang w:val="fr-FR"/>
        </w:rPr>
        <w:t>pour l’incapacité permanente partielle</w:t>
      </w:r>
      <w:r>
        <w:rPr>
          <w:rFonts w:cs="Times New Roman"/>
          <w:lang w:val="fr-FR"/>
        </w:rPr>
        <w:t>;</w:t>
      </w:r>
    </w:p>
    <w:p w:rsidR="007D258B" w:rsidRPr="002E6556" w:rsidRDefault="007D258B" w:rsidP="007D258B">
      <w:pPr>
        <w:tabs>
          <w:tab w:val="left" w:pos="-1440"/>
        </w:tabs>
        <w:snapToGrid w:val="0"/>
        <w:jc w:val="both"/>
        <w:rPr>
          <w:rFonts w:cs="Times New Roman"/>
          <w:b/>
          <w:highlight w:val="yellow"/>
          <w:lang w:val="fr-FR"/>
        </w:rPr>
      </w:pPr>
    </w:p>
    <w:p w:rsidR="00EB0F85" w:rsidRDefault="00EB0F85" w:rsidP="00EB0F85">
      <w:pPr>
        <w:jc w:val="both"/>
        <w:rPr>
          <w:rFonts w:cs="Times New Roman"/>
        </w:rPr>
      </w:pPr>
      <w:r w:rsidRPr="00E96690">
        <w:rPr>
          <w:rFonts w:cs="Times New Roman"/>
          <w:b/>
          <w:lang w:val="fr-FR"/>
        </w:rPr>
        <w:t>CONDAMNE</w:t>
      </w:r>
      <w:r w:rsidRPr="00E96690">
        <w:rPr>
          <w:rFonts w:cs="Times New Roman"/>
          <w:lang w:val="fr-FR"/>
        </w:rPr>
        <w:t xml:space="preserve"> la partie défenderesse à payer les intérêts moratoires </w:t>
      </w:r>
      <w:r w:rsidRPr="00D31CBA">
        <w:rPr>
          <w:rFonts w:cs="Times New Roman"/>
        </w:rPr>
        <w:t xml:space="preserve">à partir du </w:t>
      </w:r>
      <w:r>
        <w:rPr>
          <w:rFonts w:cs="Times New Roman"/>
        </w:rPr>
        <w:t>13 juin 2019</w:t>
      </w:r>
      <w:r w:rsidRPr="00D31CBA">
        <w:rPr>
          <w:rFonts w:cs="Times New Roman"/>
        </w:rPr>
        <w:t xml:space="preserve"> jusqu’au </w:t>
      </w:r>
      <w:r>
        <w:rPr>
          <w:rFonts w:cs="Times New Roman"/>
        </w:rPr>
        <w:t>12 février 2020</w:t>
      </w:r>
      <w:r w:rsidRPr="00D31CBA">
        <w:rPr>
          <w:rFonts w:cs="Times New Roman"/>
        </w:rPr>
        <w:t xml:space="preserve"> et ensuite les intérêts judiciaires </w:t>
      </w:r>
      <w:r>
        <w:rPr>
          <w:rFonts w:cs="Times New Roman"/>
        </w:rPr>
        <w:t>sont dus à partir du 13 février 2020 ;</w:t>
      </w:r>
    </w:p>
    <w:p w:rsidR="007D258B" w:rsidRPr="0029469C" w:rsidRDefault="007D258B" w:rsidP="00EB0F85">
      <w:pPr>
        <w:tabs>
          <w:tab w:val="left" w:pos="-1440"/>
        </w:tabs>
        <w:snapToGrid w:val="0"/>
        <w:jc w:val="both"/>
        <w:rPr>
          <w:rFonts w:cs="Times New Roman"/>
        </w:rPr>
      </w:pPr>
    </w:p>
    <w:p w:rsidR="007D258B" w:rsidRPr="00CE3B7F" w:rsidRDefault="007D258B" w:rsidP="007D258B">
      <w:pPr>
        <w:tabs>
          <w:tab w:val="left" w:pos="-1440"/>
        </w:tabs>
        <w:snapToGrid w:val="0"/>
        <w:jc w:val="both"/>
        <w:rPr>
          <w:rFonts w:cs="Times New Roman"/>
        </w:rPr>
      </w:pPr>
      <w:r w:rsidRPr="0029469C">
        <w:rPr>
          <w:rFonts w:cs="Times New Roman"/>
          <w:b/>
          <w:lang w:val="fr-FR"/>
        </w:rPr>
        <w:t>CONDAMNE</w:t>
      </w:r>
      <w:r w:rsidRPr="0029469C">
        <w:rPr>
          <w:rFonts w:cs="Times New Roman"/>
          <w:lang w:val="fr-FR"/>
        </w:rPr>
        <w:t xml:space="preserve">, enfin, la partie défenderesse aux frais et honoraires de l’expert, taxés à la somme de </w:t>
      </w:r>
      <w:r>
        <w:rPr>
          <w:rFonts w:cs="Times New Roman"/>
          <w:b/>
          <w:lang w:val="fr-FR"/>
        </w:rPr>
        <w:t>3.</w:t>
      </w:r>
      <w:r w:rsidR="00BB1908">
        <w:rPr>
          <w:rFonts w:cs="Times New Roman"/>
          <w:b/>
          <w:lang w:val="fr-FR"/>
        </w:rPr>
        <w:t>043,70</w:t>
      </w:r>
      <w:r>
        <w:rPr>
          <w:rFonts w:cs="Times New Roman"/>
          <w:lang w:val="fr-FR"/>
        </w:rPr>
        <w:t xml:space="preserve"> </w:t>
      </w:r>
      <w:r w:rsidRPr="00DE5EFF">
        <w:rPr>
          <w:rFonts w:cs="Times New Roman"/>
          <w:b/>
          <w:lang w:val="fr-FR"/>
        </w:rPr>
        <w:t>€,</w:t>
      </w:r>
      <w:r>
        <w:rPr>
          <w:rFonts w:cs="Times New Roman"/>
          <w:lang w:val="fr-FR"/>
        </w:rPr>
        <w:t xml:space="preserve"> outre les </w:t>
      </w:r>
      <w:r w:rsidRPr="0029469C">
        <w:rPr>
          <w:rFonts w:cs="Times New Roman"/>
          <w:lang w:val="fr-FR"/>
        </w:rPr>
        <w:t>dépens</w:t>
      </w:r>
      <w:r>
        <w:rPr>
          <w:rFonts w:cs="Times New Roman"/>
          <w:lang w:val="fr-FR"/>
        </w:rPr>
        <w:t xml:space="preserve"> liquidés par la partie demanderesse</w:t>
      </w:r>
      <w:r w:rsidR="00BB1908">
        <w:rPr>
          <w:rFonts w:cs="Times New Roman"/>
          <w:lang w:val="fr-FR"/>
        </w:rPr>
        <w:t xml:space="preserve"> à la somme de </w:t>
      </w:r>
      <w:r w:rsidR="00BB1908">
        <w:rPr>
          <w:rFonts w:cs="Times New Roman"/>
          <w:b/>
          <w:lang w:val="fr-FR"/>
        </w:rPr>
        <w:t xml:space="preserve">284,23 € </w:t>
      </w:r>
      <w:r w:rsidR="00BB1908">
        <w:rPr>
          <w:rFonts w:cs="Times New Roman"/>
          <w:lang w:val="fr-FR"/>
        </w:rPr>
        <w:t>ainsi que</w:t>
      </w:r>
      <w:r>
        <w:rPr>
          <w:rFonts w:cs="Times New Roman"/>
          <w:lang w:val="fr-FR"/>
        </w:rPr>
        <w:t xml:space="preserve"> </w:t>
      </w:r>
      <w:r w:rsidRPr="009E0960">
        <w:rPr>
          <w:rFonts w:cs="Times New Roman"/>
        </w:rPr>
        <w:t>la contribution au Fonds budgétaire relatif à l'aide juridique de deuxième ligne, institué</w:t>
      </w:r>
      <w:r>
        <w:rPr>
          <w:rFonts w:cs="Times New Roman"/>
        </w:rPr>
        <w:t>e</w:t>
      </w:r>
      <w:r w:rsidRPr="009E0960">
        <w:rPr>
          <w:rFonts w:cs="Times New Roman"/>
        </w:rPr>
        <w:t xml:space="preserve"> par la loi du 19 mars 2017 et liquidée à la somme de </w:t>
      </w:r>
      <w:r w:rsidRPr="00F93117">
        <w:rPr>
          <w:rFonts w:cs="Times New Roman"/>
          <w:b/>
        </w:rPr>
        <w:t>20,00 €.</w:t>
      </w:r>
    </w:p>
    <w:p w:rsidR="007D258B" w:rsidRPr="0029469C" w:rsidRDefault="007D258B" w:rsidP="007D258B">
      <w:pPr>
        <w:rPr>
          <w:rFonts w:cs="Times New Roman"/>
          <w:lang w:val="fr-FR"/>
        </w:rPr>
      </w:pPr>
    </w:p>
    <w:p w:rsidR="007D258B" w:rsidRPr="0029469C" w:rsidRDefault="007D258B" w:rsidP="007D258B">
      <w:pPr>
        <w:tabs>
          <w:tab w:val="left" w:pos="-1440"/>
        </w:tabs>
        <w:snapToGrid w:val="0"/>
        <w:jc w:val="both"/>
        <w:rPr>
          <w:rFonts w:cs="Times New Roman"/>
          <w:lang w:val="fr-FR"/>
        </w:rPr>
      </w:pPr>
      <w:r w:rsidRPr="0029469C">
        <w:rPr>
          <w:rFonts w:cs="Times New Roman"/>
          <w:b/>
          <w:lang w:val="fr-FR"/>
        </w:rPr>
        <w:t>ORDONNE</w:t>
      </w:r>
      <w:r w:rsidRPr="0029469C">
        <w:rPr>
          <w:rFonts w:cs="Times New Roman"/>
          <w:lang w:val="fr-FR"/>
        </w:rPr>
        <w:t xml:space="preserve"> l’exécution provisoire du présent jugement, sans caution, ni cantonnement,  en application de l’article 54 des lois coordonnées du 3 juin 1970.</w:t>
      </w:r>
    </w:p>
    <w:p w:rsidR="00AA5FD4" w:rsidRPr="0029469C" w:rsidRDefault="00AA5FD4" w:rsidP="00440F80">
      <w:pPr>
        <w:tabs>
          <w:tab w:val="left" w:pos="-1440"/>
        </w:tabs>
        <w:snapToGrid w:val="0"/>
        <w:jc w:val="both"/>
        <w:rPr>
          <w:rFonts w:cs="Times New Roman"/>
          <w:lang w:val="fr-FR"/>
        </w:rPr>
      </w:pPr>
    </w:p>
    <w:p w:rsidR="00671635" w:rsidRDefault="00671635" w:rsidP="006C0E37">
      <w:pPr>
        <w:tabs>
          <w:tab w:val="left" w:pos="-1440"/>
        </w:tabs>
        <w:snapToGrid w:val="0"/>
        <w:jc w:val="both"/>
        <w:rPr>
          <w:b/>
        </w:rPr>
      </w:pPr>
    </w:p>
    <w:p w:rsidR="005E512C" w:rsidRDefault="005E512C" w:rsidP="006C0E37">
      <w:pPr>
        <w:tabs>
          <w:tab w:val="left" w:pos="-1440"/>
        </w:tabs>
        <w:snapToGrid w:val="0"/>
        <w:jc w:val="both"/>
        <w:rPr>
          <w:b/>
        </w:rPr>
      </w:pPr>
    </w:p>
    <w:p w:rsidR="005E512C" w:rsidRDefault="005E512C" w:rsidP="006C0E37">
      <w:pPr>
        <w:tabs>
          <w:tab w:val="left" w:pos="-1440"/>
        </w:tabs>
        <w:snapToGrid w:val="0"/>
        <w:jc w:val="both"/>
        <w:rPr>
          <w:b/>
        </w:rPr>
      </w:pPr>
    </w:p>
    <w:p w:rsidR="005E512C" w:rsidRDefault="005E512C" w:rsidP="006C0E37">
      <w:pPr>
        <w:tabs>
          <w:tab w:val="left" w:pos="-1440"/>
        </w:tabs>
        <w:snapToGrid w:val="0"/>
        <w:jc w:val="both"/>
        <w:rPr>
          <w:b/>
        </w:rPr>
      </w:pPr>
    </w:p>
    <w:p w:rsidR="005E512C" w:rsidRDefault="005E512C" w:rsidP="006C0E37">
      <w:pPr>
        <w:tabs>
          <w:tab w:val="left" w:pos="-1440"/>
        </w:tabs>
        <w:snapToGrid w:val="0"/>
        <w:jc w:val="both"/>
        <w:rPr>
          <w:b/>
        </w:rPr>
      </w:pPr>
    </w:p>
    <w:p w:rsidR="005E512C" w:rsidRDefault="005E512C" w:rsidP="006C0E37">
      <w:pPr>
        <w:tabs>
          <w:tab w:val="left" w:pos="-1440"/>
        </w:tabs>
        <w:snapToGrid w:val="0"/>
        <w:jc w:val="both"/>
        <w:rPr>
          <w:b/>
        </w:rPr>
      </w:pPr>
    </w:p>
    <w:p w:rsidR="005E512C" w:rsidRPr="006C2BF8" w:rsidRDefault="005E512C" w:rsidP="006C0E37">
      <w:pPr>
        <w:tabs>
          <w:tab w:val="left" w:pos="-1440"/>
        </w:tabs>
        <w:snapToGrid w:val="0"/>
        <w:jc w:val="both"/>
        <w:rPr>
          <w:b/>
        </w:rPr>
      </w:pPr>
    </w:p>
    <w:p w:rsidR="00A2342B" w:rsidRPr="00FA4D4E" w:rsidRDefault="00A2342B" w:rsidP="006C0E37">
      <w:pPr>
        <w:tabs>
          <w:tab w:val="left" w:pos="-1440"/>
        </w:tabs>
        <w:snapToGrid w:val="0"/>
        <w:jc w:val="both"/>
        <w:rPr>
          <w:b/>
        </w:rPr>
      </w:pPr>
      <w:r w:rsidRPr="00FA4D4E">
        <w:rPr>
          <w:b/>
        </w:rPr>
        <w:t xml:space="preserve">AINSI JUGÉ PAR LE TRIBUNAL DU TRAVAIL DE LIEGE DIVISION </w:t>
      </w:r>
      <w:r>
        <w:rPr>
          <w:b/>
        </w:rPr>
        <w:t xml:space="preserve">DE </w:t>
      </w:r>
      <w:r w:rsidRPr="00FA4D4E">
        <w:rPr>
          <w:b/>
        </w:rPr>
        <w:t>VERV</w:t>
      </w:r>
      <w:r>
        <w:rPr>
          <w:b/>
        </w:rPr>
        <w:t>IERS (DEUXIEME CHAMBRE) composé</w:t>
      </w:r>
      <w:r w:rsidRPr="00FA4D4E">
        <w:rPr>
          <w:b/>
        </w:rPr>
        <w:t xml:space="preserve"> de</w:t>
      </w:r>
    </w:p>
    <w:p w:rsidR="00A2342B" w:rsidRPr="00FA4D4E" w:rsidRDefault="00A2342B" w:rsidP="006C0E37">
      <w:pPr>
        <w:tabs>
          <w:tab w:val="left" w:pos="-1440"/>
        </w:tabs>
        <w:snapToGrid w:val="0"/>
        <w:jc w:val="both"/>
        <w:rPr>
          <w:b/>
        </w:rPr>
      </w:pPr>
    </w:p>
    <w:p w:rsidR="00A2342B" w:rsidRPr="00FA4D4E" w:rsidRDefault="00A2342B" w:rsidP="006C0E37">
      <w:pPr>
        <w:tabs>
          <w:tab w:val="left" w:pos="-1440"/>
        </w:tabs>
        <w:snapToGrid w:val="0"/>
        <w:jc w:val="both"/>
        <w:rPr>
          <w:b/>
        </w:rPr>
      </w:pPr>
      <w:r w:rsidRPr="00FA4D4E">
        <w:rPr>
          <w:rFonts w:eastAsia="Times New Roman"/>
          <w:b/>
        </w:rPr>
        <w:t>BELLEFLAMME Viviane</w:t>
      </w:r>
      <w:r w:rsidRPr="00FA4D4E">
        <w:rPr>
          <w:b/>
        </w:rPr>
        <w:t>, Juge effectif – Président de la chambre.</w:t>
      </w:r>
    </w:p>
    <w:p w:rsidR="00A2342B" w:rsidRPr="00FA4D4E" w:rsidRDefault="00A2342B" w:rsidP="006C0E37">
      <w:pPr>
        <w:tabs>
          <w:tab w:val="left" w:pos="-1440"/>
        </w:tabs>
        <w:snapToGrid w:val="0"/>
        <w:jc w:val="both"/>
        <w:rPr>
          <w:b/>
        </w:rPr>
      </w:pPr>
      <w:r>
        <w:rPr>
          <w:rFonts w:eastAsia="Times New Roman"/>
          <w:b/>
          <w:lang w:val="fr-FR"/>
        </w:rPr>
        <w:t>LEVEAUX Gaëtan</w:t>
      </w:r>
      <w:r w:rsidRPr="00FA4D4E">
        <w:rPr>
          <w:b/>
        </w:rPr>
        <w:t>, Juge social employeur.</w:t>
      </w:r>
    </w:p>
    <w:p w:rsidR="00A2342B" w:rsidRPr="00FA4D4E" w:rsidRDefault="00A2342B" w:rsidP="006C0E37">
      <w:pPr>
        <w:tabs>
          <w:tab w:val="left" w:pos="-1440"/>
        </w:tabs>
        <w:snapToGrid w:val="0"/>
        <w:jc w:val="both"/>
        <w:rPr>
          <w:b/>
        </w:rPr>
      </w:pPr>
      <w:r w:rsidRPr="00FA4D4E">
        <w:rPr>
          <w:rFonts w:eastAsia="Times New Roman"/>
          <w:b/>
        </w:rPr>
        <w:t>FISSETTE Serge</w:t>
      </w:r>
      <w:r w:rsidRPr="00FA4D4E">
        <w:rPr>
          <w:b/>
        </w:rPr>
        <w:t>, Juge social travailleur employé.</w:t>
      </w:r>
    </w:p>
    <w:p w:rsidR="00A2342B" w:rsidRPr="00FA4D4E" w:rsidRDefault="00A2342B" w:rsidP="006C0E37">
      <w:pPr>
        <w:tabs>
          <w:tab w:val="left" w:pos="-1440"/>
        </w:tabs>
        <w:snapToGrid w:val="0"/>
        <w:jc w:val="both"/>
        <w:rPr>
          <w:b/>
        </w:rPr>
      </w:pPr>
      <w:r w:rsidRPr="00FA4D4E">
        <w:rPr>
          <w:b/>
        </w:rPr>
        <w:t>qui ont participé au délibéré.</w:t>
      </w:r>
    </w:p>
    <w:p w:rsidR="00A2342B" w:rsidRPr="00FA4D4E" w:rsidRDefault="00A2342B" w:rsidP="006C0E37">
      <w:pPr>
        <w:tabs>
          <w:tab w:val="left" w:pos="-1440"/>
        </w:tabs>
        <w:snapToGrid w:val="0"/>
        <w:jc w:val="both"/>
        <w:rPr>
          <w:b/>
        </w:rPr>
      </w:pPr>
    </w:p>
    <w:p w:rsidR="00A2342B" w:rsidRPr="00FA4D4E" w:rsidRDefault="00A2342B" w:rsidP="006C0E37">
      <w:pPr>
        <w:tabs>
          <w:tab w:val="left" w:pos="-1440"/>
        </w:tabs>
        <w:snapToGrid w:val="0"/>
        <w:jc w:val="both"/>
        <w:rPr>
          <w:b/>
        </w:rPr>
      </w:pPr>
    </w:p>
    <w:p w:rsidR="00A2342B" w:rsidRDefault="00A2342B" w:rsidP="006C0E37">
      <w:pPr>
        <w:tabs>
          <w:tab w:val="left" w:pos="-1440"/>
        </w:tabs>
        <w:snapToGrid w:val="0"/>
        <w:jc w:val="both"/>
        <w:rPr>
          <w:b/>
        </w:rPr>
      </w:pPr>
    </w:p>
    <w:p w:rsidR="00A2342B" w:rsidRDefault="00A2342B" w:rsidP="006C0E37">
      <w:pPr>
        <w:tabs>
          <w:tab w:val="left" w:pos="-1440"/>
        </w:tabs>
        <w:snapToGrid w:val="0"/>
        <w:jc w:val="both"/>
        <w:rPr>
          <w:b/>
        </w:rPr>
      </w:pPr>
    </w:p>
    <w:p w:rsidR="00A2342B" w:rsidRPr="00FA4D4E" w:rsidRDefault="00A2342B" w:rsidP="006C0E37">
      <w:pPr>
        <w:tabs>
          <w:tab w:val="left" w:pos="-1440"/>
        </w:tabs>
        <w:snapToGrid w:val="0"/>
        <w:jc w:val="both"/>
        <w:rPr>
          <w:b/>
        </w:rPr>
      </w:pPr>
    </w:p>
    <w:p w:rsidR="00A2342B" w:rsidRPr="00FA4D4E" w:rsidRDefault="00A2342B" w:rsidP="006C0E37">
      <w:pPr>
        <w:tabs>
          <w:tab w:val="left" w:pos="-1440"/>
        </w:tabs>
        <w:snapToGrid w:val="0"/>
        <w:ind w:right="-776"/>
        <w:jc w:val="both"/>
        <w:rPr>
          <w:rFonts w:eastAsia="Times New Roman"/>
          <w:b/>
        </w:rPr>
      </w:pPr>
      <w:r w:rsidRPr="00FA4D4E">
        <w:rPr>
          <w:rFonts w:eastAsia="Times New Roman"/>
          <w:b/>
        </w:rPr>
        <w:t>BELLEFLAMME Viviane</w:t>
      </w:r>
      <w:r>
        <w:rPr>
          <w:b/>
        </w:rPr>
        <w:tab/>
        <w:t xml:space="preserve">      </w:t>
      </w:r>
      <w:r>
        <w:rPr>
          <w:rFonts w:eastAsia="Times New Roman"/>
          <w:b/>
          <w:lang w:val="fr-FR"/>
        </w:rPr>
        <w:t>LEVEAUX Gaëtan</w:t>
      </w:r>
      <w:r>
        <w:rPr>
          <w:rFonts w:eastAsia="Times New Roman"/>
          <w:b/>
        </w:rPr>
        <w:tab/>
        <w:t xml:space="preserve">     </w:t>
      </w:r>
      <w:r w:rsidRPr="00FA4D4E">
        <w:rPr>
          <w:rFonts w:eastAsia="Times New Roman"/>
          <w:b/>
        </w:rPr>
        <w:t xml:space="preserve">   FISSETTE Serge</w:t>
      </w:r>
    </w:p>
    <w:p w:rsidR="00A2342B" w:rsidRPr="00FA4D4E" w:rsidRDefault="00A2342B" w:rsidP="006C0E37">
      <w:pPr>
        <w:tabs>
          <w:tab w:val="left" w:pos="-1440"/>
        </w:tabs>
        <w:snapToGrid w:val="0"/>
        <w:jc w:val="both"/>
        <w:rPr>
          <w:b/>
        </w:rPr>
      </w:pPr>
    </w:p>
    <w:p w:rsidR="00A2342B" w:rsidRDefault="00A2342B" w:rsidP="00211463">
      <w:pPr>
        <w:tabs>
          <w:tab w:val="left" w:pos="-1440"/>
        </w:tabs>
        <w:snapToGrid w:val="0"/>
        <w:jc w:val="both"/>
        <w:rPr>
          <w:b/>
        </w:rPr>
      </w:pPr>
      <w:r>
        <w:rPr>
          <w:b/>
          <w:bCs/>
        </w:rPr>
        <w:t xml:space="preserve">et prononcé ANTICIPATIVEMENT en langue française par </w:t>
      </w:r>
      <w:r>
        <w:rPr>
          <w:rFonts w:eastAsia="Times New Roman"/>
          <w:b/>
        </w:rPr>
        <w:t>BELLEFLAMME Viviane</w:t>
      </w:r>
      <w:r>
        <w:rPr>
          <w:b/>
        </w:rPr>
        <w:t xml:space="preserve">, Juge effectif – Président de la chambre, </w:t>
      </w:r>
      <w:r>
        <w:rPr>
          <w:b/>
          <w:bCs/>
        </w:rPr>
        <w:t>à l’audience publique de la 2ème chambre du TRIBUNAL DU TRAVAIL DE LIEGE – DIVISION DE VERVIERS, le 23 juin 2022</w:t>
      </w:r>
      <w:r>
        <w:rPr>
          <w:b/>
        </w:rPr>
        <w:t xml:space="preserve">, assisté de </w:t>
      </w:r>
      <w:r>
        <w:rPr>
          <w:rFonts w:eastAsia="Times New Roman"/>
          <w:b/>
        </w:rPr>
        <w:t>MATHY Florian</w:t>
      </w:r>
      <w:r>
        <w:rPr>
          <w:b/>
        </w:rPr>
        <w:t xml:space="preserve">, Greffier. </w:t>
      </w:r>
    </w:p>
    <w:p w:rsidR="00A2342B" w:rsidRPr="00FA4D4E" w:rsidRDefault="00A2342B" w:rsidP="006C0E37">
      <w:pPr>
        <w:rPr>
          <w:b/>
        </w:rPr>
      </w:pPr>
    </w:p>
    <w:p w:rsidR="00A2342B" w:rsidRDefault="00A2342B" w:rsidP="006C0E37">
      <w:pPr>
        <w:rPr>
          <w:b/>
        </w:rPr>
      </w:pPr>
    </w:p>
    <w:p w:rsidR="00A2342B" w:rsidRDefault="00A2342B" w:rsidP="006C0E37">
      <w:pPr>
        <w:rPr>
          <w:b/>
        </w:rPr>
      </w:pPr>
    </w:p>
    <w:p w:rsidR="00A2342B" w:rsidRPr="00FA4D4E" w:rsidRDefault="00A2342B" w:rsidP="006C0E37">
      <w:pPr>
        <w:rPr>
          <w:b/>
        </w:rPr>
      </w:pPr>
    </w:p>
    <w:p w:rsidR="00A2342B" w:rsidRPr="00FA4D4E" w:rsidRDefault="00A2342B" w:rsidP="006C0E37">
      <w:pPr>
        <w:rPr>
          <w:b/>
        </w:rPr>
      </w:pPr>
    </w:p>
    <w:p w:rsidR="00056FDF" w:rsidRPr="00056FDF" w:rsidRDefault="00A2342B" w:rsidP="00056FDF">
      <w:pPr>
        <w:tabs>
          <w:tab w:val="left" w:pos="-1440"/>
        </w:tabs>
        <w:jc w:val="both"/>
        <w:textAlignment w:val="auto"/>
        <w:rPr>
          <w:rFonts w:ascii="Tahoma" w:eastAsia="Times New Roman" w:hAnsi="Tahoma"/>
          <w:b/>
          <w:sz w:val="20"/>
          <w:szCs w:val="20"/>
        </w:rPr>
      </w:pPr>
      <w:r w:rsidRPr="00FA4D4E">
        <w:rPr>
          <w:rFonts w:eastAsia="Times New Roman"/>
          <w:b/>
        </w:rPr>
        <w:t xml:space="preserve">             </w:t>
      </w:r>
      <w:r>
        <w:rPr>
          <w:rFonts w:eastAsia="Times New Roman"/>
          <w:b/>
        </w:rPr>
        <w:t>BELLEFLAMME Viviane</w:t>
      </w:r>
      <w:r>
        <w:rPr>
          <w:rFonts w:eastAsia="Times New Roman"/>
          <w:b/>
        </w:rPr>
        <w:tab/>
      </w:r>
      <w:r>
        <w:rPr>
          <w:rFonts w:eastAsia="Times New Roman"/>
          <w:b/>
        </w:rPr>
        <w:tab/>
      </w:r>
      <w:r>
        <w:rPr>
          <w:rFonts w:eastAsia="Times New Roman"/>
          <w:b/>
        </w:rPr>
        <w:tab/>
        <w:t>MATHY Florian</w:t>
      </w:r>
    </w:p>
    <w:p w:rsidR="00D63190" w:rsidRPr="00FA4D4E" w:rsidRDefault="00D63190" w:rsidP="00056FDF">
      <w:pPr>
        <w:tabs>
          <w:tab w:val="left" w:pos="-1440"/>
        </w:tabs>
        <w:snapToGrid w:val="0"/>
        <w:jc w:val="both"/>
        <w:rPr>
          <w:b/>
        </w:rPr>
      </w:pPr>
    </w:p>
    <w:sectPr w:rsidR="00D63190" w:rsidRPr="00FA4D4E" w:rsidSect="00C74467">
      <w:headerReference w:type="default" r:id="rId9"/>
      <w:pgSz w:w="11905" w:h="16837"/>
      <w:pgMar w:top="1134" w:right="1735" w:bottom="1134" w:left="1590"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36A99" w:rsidRDefault="00436A99">
      <w:r>
        <w:separator/>
      </w:r>
    </w:p>
  </w:endnote>
  <w:endnote w:type="continuationSeparator" w:id="0">
    <w:p w:rsidR="00436A99" w:rsidRDefault="00436A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umberland AMT">
    <w:charset w:val="00"/>
    <w:family w:val="modern"/>
    <w:pitch w:val="fixed"/>
  </w:font>
  <w:font w:name="StarSymbol">
    <w:charset w:val="00"/>
    <w:family w:val="auto"/>
    <w:pitch w:val="default"/>
  </w:font>
  <w:font w:name="MS Sans Serif">
    <w:altName w:val="Arial"/>
    <w:panose1 w:val="020B0500000000000000"/>
    <w:charset w:val="00"/>
    <w:family w:val="swiss"/>
    <w:pitch w:val="variable"/>
  </w:font>
  <w:font w:name="Bookman Old Style">
    <w:panose1 w:val="02050604050505020204"/>
    <w:charset w:val="00"/>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36A99" w:rsidRDefault="00436A99">
      <w:r>
        <w:rPr>
          <w:color w:val="000000"/>
        </w:rPr>
        <w:separator/>
      </w:r>
    </w:p>
  </w:footnote>
  <w:footnote w:type="continuationSeparator" w:id="0">
    <w:p w:rsidR="00436A99" w:rsidRDefault="00436A99">
      <w:r>
        <w:continuationSeparator/>
      </w:r>
    </w:p>
  </w:footnote>
  <w:footnote w:id="1">
    <w:p w:rsidR="007D258B" w:rsidRPr="00AD7455" w:rsidRDefault="007D258B" w:rsidP="007D258B">
      <w:pPr>
        <w:pStyle w:val="Notedebasdepage"/>
        <w:tabs>
          <w:tab w:val="left" w:pos="284"/>
        </w:tabs>
        <w:jc w:val="both"/>
        <w:rPr>
          <w:rFonts w:cs="Times New Roman"/>
        </w:rPr>
      </w:pPr>
      <w:r w:rsidRPr="00AD7455">
        <w:rPr>
          <w:rStyle w:val="Appelnotedebasdep"/>
          <w:rFonts w:cs="Times New Roman"/>
        </w:rPr>
        <w:footnoteRef/>
      </w:r>
      <w:r w:rsidRPr="00AD7455">
        <w:rPr>
          <w:rFonts w:cs="Times New Roman"/>
        </w:rPr>
        <w:t xml:space="preserve"> </w:t>
      </w:r>
      <w:r w:rsidRPr="00AD7455">
        <w:rPr>
          <w:rFonts w:cs="Times New Roman"/>
        </w:rPr>
        <w:tab/>
        <w:t xml:space="preserve">Cass., 22 janvier 1979, </w:t>
      </w:r>
      <w:r w:rsidRPr="00AD7455">
        <w:rPr>
          <w:rFonts w:cs="Times New Roman"/>
          <w:i/>
        </w:rPr>
        <w:t>Bull.</w:t>
      </w:r>
      <w:r w:rsidRPr="00AD7455">
        <w:rPr>
          <w:rFonts w:cs="Times New Roman"/>
        </w:rPr>
        <w:t>, 1979, p. 578.</w:t>
      </w:r>
    </w:p>
  </w:footnote>
  <w:footnote w:id="2">
    <w:p w:rsidR="007D258B" w:rsidRPr="00AD7455" w:rsidRDefault="007D258B" w:rsidP="007D258B">
      <w:pPr>
        <w:pStyle w:val="Notedebasdepage"/>
        <w:tabs>
          <w:tab w:val="left" w:pos="284"/>
        </w:tabs>
        <w:jc w:val="both"/>
        <w:rPr>
          <w:rFonts w:cs="Times New Roman"/>
        </w:rPr>
      </w:pPr>
      <w:r w:rsidRPr="00AD7455">
        <w:rPr>
          <w:rStyle w:val="Appelnotedebasdep"/>
          <w:rFonts w:cs="Times New Roman"/>
        </w:rPr>
        <w:footnoteRef/>
      </w:r>
      <w:r w:rsidRPr="00AD7455">
        <w:rPr>
          <w:rFonts w:cs="Times New Roman"/>
        </w:rPr>
        <w:t xml:space="preserve"> </w:t>
      </w:r>
      <w:r w:rsidRPr="00AD7455">
        <w:rPr>
          <w:rFonts w:cs="Times New Roman"/>
        </w:rPr>
        <w:tab/>
        <w:t xml:space="preserve">Cass., 28 mai 1990, </w:t>
      </w:r>
      <w:r w:rsidRPr="00AD7455">
        <w:rPr>
          <w:rFonts w:cs="Times New Roman"/>
          <w:i/>
        </w:rPr>
        <w:t>Chr. Dr. Soc</w:t>
      </w:r>
      <w:r w:rsidRPr="00AD7455">
        <w:rPr>
          <w:rFonts w:cs="Times New Roman"/>
        </w:rPr>
        <w:t>, 1991, p. 12.</w:t>
      </w:r>
    </w:p>
  </w:footnote>
  <w:footnote w:id="3">
    <w:p w:rsidR="007D258B" w:rsidRPr="00530B82" w:rsidRDefault="007D258B" w:rsidP="007D258B">
      <w:pPr>
        <w:pStyle w:val="Notedebasdepage"/>
        <w:tabs>
          <w:tab w:val="left" w:pos="284"/>
        </w:tabs>
        <w:jc w:val="both"/>
        <w:rPr>
          <w:rFonts w:cs="Times New Roman"/>
        </w:rPr>
      </w:pPr>
      <w:r w:rsidRPr="00AD7455">
        <w:rPr>
          <w:rStyle w:val="Appelnotedebasdep"/>
          <w:rFonts w:cs="Times New Roman"/>
        </w:rPr>
        <w:footnoteRef/>
      </w:r>
      <w:r w:rsidRPr="00AD7455">
        <w:rPr>
          <w:rFonts w:cs="Times New Roman"/>
        </w:rPr>
        <w:t xml:space="preserve"> </w:t>
      </w:r>
      <w:r w:rsidRPr="00AD7455">
        <w:rPr>
          <w:rFonts w:cs="Times New Roman"/>
        </w:rPr>
        <w:tab/>
      </w:r>
      <w:r>
        <w:rPr>
          <w:rFonts w:cs="Times New Roman"/>
        </w:rPr>
        <w:t>idem</w:t>
      </w:r>
      <w:r w:rsidRPr="00AD7455">
        <w:rPr>
          <w:rFonts w:cs="Times New Roman"/>
        </w:rPr>
        <w:t>.</w:t>
      </w:r>
    </w:p>
  </w:footnote>
  <w:footnote w:id="4">
    <w:p w:rsidR="007D258B" w:rsidRDefault="007D258B" w:rsidP="007D258B">
      <w:pPr>
        <w:pStyle w:val="Notedebasdepage"/>
        <w:rPr>
          <w:rFonts w:ascii="Arial" w:hAnsi="Arial" w:cs="Arial"/>
        </w:rPr>
      </w:pPr>
      <w:r>
        <w:rPr>
          <w:rStyle w:val="Appelnotedebasdep"/>
        </w:rPr>
        <w:footnoteRef/>
      </w:r>
      <w:r w:rsidRPr="0029469C">
        <w:t xml:space="preserve"> Cass., 11 septembre 2006, </w:t>
      </w:r>
      <w:r>
        <w:t xml:space="preserve">R.G. </w:t>
      </w:r>
      <w:r w:rsidRPr="0029469C">
        <w:t xml:space="preserve">S.05.0037.F, </w:t>
      </w:r>
      <w:r w:rsidRPr="0029469C">
        <w:rPr>
          <w:i/>
        </w:rPr>
        <w:t>Pas.</w:t>
      </w:r>
      <w:r w:rsidRPr="0029469C">
        <w:t xml:space="preserve">, p 1690 et  </w:t>
      </w:r>
      <w:r w:rsidRPr="0029469C">
        <w:rPr>
          <w:i/>
        </w:rPr>
        <w:t>J.T.T.</w:t>
      </w:r>
      <w:r w:rsidRPr="0029469C">
        <w:t>, 2007, p 23.</w:t>
      </w:r>
    </w:p>
  </w:footnote>
  <w:footnote w:id="5">
    <w:p w:rsidR="007D258B" w:rsidRDefault="007D258B" w:rsidP="007D258B">
      <w:pPr>
        <w:pStyle w:val="Notedebasdepage"/>
        <w:rPr>
          <w:rFonts w:cs="Times New Roman"/>
        </w:rPr>
      </w:pPr>
      <w:r>
        <w:rPr>
          <w:rStyle w:val="Appelnotedebasdep"/>
        </w:rPr>
        <w:footnoteRef/>
      </w:r>
      <w:r w:rsidRPr="0029469C">
        <w:t xml:space="preserve"> C. trav. Mons, 6 septembre 1995, RG 12380 ;  C. trav. Bruxelles, 6 mai </w:t>
      </w:r>
      <w:r>
        <w:t>1</w:t>
      </w:r>
      <w:r w:rsidRPr="0029469C">
        <w:t xml:space="preserve">996, RG 29741, sommaires publiés sur </w:t>
      </w:r>
      <w:hyperlink r:id="rId1" w:history="1">
        <w:r w:rsidRPr="00A422B7">
          <w:rPr>
            <w:rStyle w:val="Lienhypertexte"/>
          </w:rPr>
          <w:t>www.juportal.be</w:t>
        </w:r>
      </w:hyperlink>
      <w:r w:rsidRPr="0029469C">
        <w:t>.</w:t>
      </w:r>
    </w:p>
  </w:footnote>
  <w:footnote w:id="6">
    <w:p w:rsidR="007D258B" w:rsidRDefault="007D258B" w:rsidP="007D258B">
      <w:pPr>
        <w:pStyle w:val="Notedebasdepage"/>
      </w:pPr>
      <w:r>
        <w:rPr>
          <w:rStyle w:val="Appelnotedebasdep"/>
        </w:rPr>
        <w:footnoteRef/>
      </w:r>
      <w:r>
        <w:t xml:space="preserve"> C’est le tribunal qui insiste.</w:t>
      </w:r>
    </w:p>
  </w:footnote>
  <w:footnote w:id="7">
    <w:p w:rsidR="007D258B" w:rsidRDefault="007D258B" w:rsidP="007D258B">
      <w:pPr>
        <w:pStyle w:val="Corpsdetexte3"/>
        <w:spacing w:after="0"/>
        <w:rPr>
          <w:rFonts w:ascii="Times New Roman" w:hAnsi="Times New Roman"/>
          <w:sz w:val="20"/>
        </w:rPr>
      </w:pPr>
      <w:r w:rsidRPr="00530B82">
        <w:rPr>
          <w:rStyle w:val="Appelnotedebasdep"/>
          <w:rFonts w:ascii="Times New Roman" w:hAnsi="Times New Roman"/>
          <w:sz w:val="20"/>
          <w:szCs w:val="20"/>
        </w:rPr>
        <w:footnoteRef/>
      </w:r>
      <w:r>
        <w:rPr>
          <w:rFonts w:ascii="Times New Roman" w:hAnsi="Times New Roman"/>
        </w:rPr>
        <w:t xml:space="preserve"> </w:t>
      </w:r>
      <w:r>
        <w:rPr>
          <w:rFonts w:ascii="Times New Roman" w:hAnsi="Times New Roman"/>
          <w:spacing w:val="-3"/>
          <w:sz w:val="20"/>
        </w:rPr>
        <w:t>P. DELOOZ et D. KREIT,  « Les maladies professionnelles », 3</w:t>
      </w:r>
      <w:r>
        <w:rPr>
          <w:rFonts w:ascii="Times New Roman" w:hAnsi="Times New Roman"/>
          <w:spacing w:val="-3"/>
          <w:sz w:val="20"/>
          <w:vertAlign w:val="superscript"/>
        </w:rPr>
        <w:t>ième</w:t>
      </w:r>
      <w:r>
        <w:rPr>
          <w:rFonts w:ascii="Times New Roman" w:hAnsi="Times New Roman"/>
          <w:spacing w:val="-3"/>
          <w:sz w:val="20"/>
        </w:rPr>
        <w:t xml:space="preserve"> édition, éd. Larcier, 2015,  p. 130 et suivantes (ainsi que la jurisprudence citée).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50848" w:rsidRPr="000C480B" w:rsidRDefault="00550848" w:rsidP="00891A96">
    <w:pPr>
      <w:pStyle w:val="En-tte"/>
      <w:jc w:val="center"/>
      <w:rPr>
        <w:rFonts w:cs="Times New Roman"/>
        <w:b/>
        <w:sz w:val="16"/>
        <w:szCs w:val="16"/>
        <w:lang w:val="nl-NL"/>
      </w:rPr>
    </w:pPr>
    <w:r w:rsidRPr="000C480B">
      <w:rPr>
        <w:rFonts w:cs="Times New Roman"/>
        <w:b/>
        <w:sz w:val="16"/>
        <w:szCs w:val="16"/>
        <w:lang w:val="nl-NL"/>
      </w:rPr>
      <w:t>Page n°</w:t>
    </w:r>
    <w:sdt>
      <w:sdtPr>
        <w:rPr>
          <w:rFonts w:cs="Times New Roman"/>
          <w:b/>
          <w:sz w:val="16"/>
          <w:szCs w:val="16"/>
        </w:rPr>
        <w:id w:val="1835185401"/>
        <w:docPartObj>
          <w:docPartGallery w:val="Page Numbers (Top of Page)"/>
          <w:docPartUnique/>
        </w:docPartObj>
      </w:sdtPr>
      <w:sdtEndPr/>
      <w:sdtContent>
        <w:r w:rsidRPr="000C480B">
          <w:rPr>
            <w:rFonts w:cs="Times New Roman"/>
            <w:b/>
            <w:sz w:val="16"/>
            <w:szCs w:val="16"/>
          </w:rPr>
          <w:fldChar w:fldCharType="begin"/>
        </w:r>
        <w:r w:rsidRPr="000C480B">
          <w:rPr>
            <w:rFonts w:cs="Times New Roman"/>
            <w:b/>
            <w:sz w:val="16"/>
            <w:szCs w:val="16"/>
            <w:lang w:val="nl-NL"/>
          </w:rPr>
          <w:instrText>PAGE   \* MERGEFORMAT</w:instrText>
        </w:r>
        <w:r w:rsidRPr="000C480B">
          <w:rPr>
            <w:rFonts w:cs="Times New Roman"/>
            <w:b/>
            <w:sz w:val="16"/>
            <w:szCs w:val="16"/>
          </w:rPr>
          <w:fldChar w:fldCharType="separate"/>
        </w:r>
        <w:r w:rsidR="00014E4B">
          <w:rPr>
            <w:rFonts w:cs="Times New Roman"/>
            <w:b/>
            <w:noProof/>
            <w:sz w:val="16"/>
            <w:szCs w:val="16"/>
            <w:lang w:val="nl-NL"/>
          </w:rPr>
          <w:t>7</w:t>
        </w:r>
        <w:r w:rsidRPr="000C480B">
          <w:rPr>
            <w:rFonts w:cs="Times New Roman"/>
            <w:b/>
            <w:sz w:val="16"/>
            <w:szCs w:val="16"/>
          </w:rPr>
          <w:fldChar w:fldCharType="end"/>
        </w:r>
      </w:sdtContent>
    </w:sdt>
  </w:p>
  <w:p w:rsidR="00550848" w:rsidRPr="00F11990" w:rsidRDefault="00550848" w:rsidP="00891A96">
    <w:pPr>
      <w:pStyle w:val="En-tte"/>
      <w:ind w:firstLine="3119"/>
      <w:rPr>
        <w:lang w:val="nl-N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F15725"/>
    <w:multiLevelType w:val="hybridMultilevel"/>
    <w:tmpl w:val="EB28E926"/>
    <w:lvl w:ilvl="0" w:tplc="511E64EC">
      <w:numFmt w:val="bullet"/>
      <w:lvlText w:val="-"/>
      <w:lvlJc w:val="left"/>
      <w:pPr>
        <w:ind w:left="720" w:hanging="360"/>
      </w:pPr>
      <w:rPr>
        <w:rFonts w:ascii="Times New Roman" w:eastAsia="Arial Unicode MS"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18923CFF"/>
    <w:multiLevelType w:val="hybridMultilevel"/>
    <w:tmpl w:val="B726A31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F122892"/>
    <w:multiLevelType w:val="multilevel"/>
    <w:tmpl w:val="7E4CA60E"/>
    <w:lvl w:ilvl="0">
      <w:start w:val="2"/>
      <w:numFmt w:val="upperRoman"/>
      <w:lvlText w:val="%1."/>
      <w:lvlJc w:val="left"/>
      <w:pPr>
        <w:ind w:left="1800" w:hanging="720"/>
      </w:pPr>
    </w:lvl>
    <w:lvl w:ilvl="1">
      <w:start w:val="1"/>
      <w:numFmt w:val="decimal"/>
      <w:isLgl/>
      <w:lvlText w:val="%1.%2."/>
      <w:lvlJc w:val="left"/>
      <w:pPr>
        <w:ind w:left="1800" w:hanging="720"/>
      </w:pPr>
    </w:lvl>
    <w:lvl w:ilvl="2">
      <w:start w:val="1"/>
      <w:numFmt w:val="decimal"/>
      <w:isLgl/>
      <w:lvlText w:val="%1.%2.%3."/>
      <w:lvlJc w:val="left"/>
      <w:pPr>
        <w:ind w:left="1800" w:hanging="720"/>
      </w:pPr>
    </w:lvl>
    <w:lvl w:ilvl="3">
      <w:start w:val="1"/>
      <w:numFmt w:val="decimal"/>
      <w:isLgl/>
      <w:lvlText w:val="%1.%2.%3.%4."/>
      <w:lvlJc w:val="left"/>
      <w:pPr>
        <w:ind w:left="2160" w:hanging="1080"/>
      </w:pPr>
    </w:lvl>
    <w:lvl w:ilvl="4">
      <w:start w:val="1"/>
      <w:numFmt w:val="decimal"/>
      <w:isLgl/>
      <w:lvlText w:val="%1.%2.%3.%4.%5."/>
      <w:lvlJc w:val="left"/>
      <w:pPr>
        <w:ind w:left="2160" w:hanging="1080"/>
      </w:pPr>
    </w:lvl>
    <w:lvl w:ilvl="5">
      <w:start w:val="1"/>
      <w:numFmt w:val="decimal"/>
      <w:isLgl/>
      <w:lvlText w:val="%1.%2.%3.%4.%5.%6."/>
      <w:lvlJc w:val="left"/>
      <w:pPr>
        <w:ind w:left="2520" w:hanging="1440"/>
      </w:pPr>
    </w:lvl>
    <w:lvl w:ilvl="6">
      <w:start w:val="1"/>
      <w:numFmt w:val="decimal"/>
      <w:isLgl/>
      <w:lvlText w:val="%1.%2.%3.%4.%5.%6.%7."/>
      <w:lvlJc w:val="left"/>
      <w:pPr>
        <w:ind w:left="2520" w:hanging="1440"/>
      </w:pPr>
    </w:lvl>
    <w:lvl w:ilvl="7">
      <w:start w:val="1"/>
      <w:numFmt w:val="decimal"/>
      <w:isLgl/>
      <w:lvlText w:val="%1.%2.%3.%4.%5.%6.%7.%8."/>
      <w:lvlJc w:val="left"/>
      <w:pPr>
        <w:ind w:left="2880" w:hanging="1800"/>
      </w:pPr>
    </w:lvl>
    <w:lvl w:ilvl="8">
      <w:start w:val="1"/>
      <w:numFmt w:val="decimal"/>
      <w:isLgl/>
      <w:lvlText w:val="%1.%2.%3.%4.%5.%6.%7.%8.%9."/>
      <w:lvlJc w:val="left"/>
      <w:pPr>
        <w:ind w:left="3240" w:hanging="2160"/>
      </w:pPr>
    </w:lvl>
  </w:abstractNum>
  <w:abstractNum w:abstractNumId="3" w15:restartNumberingAfterBreak="0">
    <w:nsid w:val="224445B3"/>
    <w:multiLevelType w:val="hybridMultilevel"/>
    <w:tmpl w:val="C922A91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2C175A6"/>
    <w:multiLevelType w:val="hybridMultilevel"/>
    <w:tmpl w:val="B726A31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3F410CF"/>
    <w:multiLevelType w:val="hybridMultilevel"/>
    <w:tmpl w:val="13A86612"/>
    <w:lvl w:ilvl="0" w:tplc="080C000B">
      <w:start w:val="1"/>
      <w:numFmt w:val="bullet"/>
      <w:lvlText w:val=""/>
      <w:lvlJc w:val="left"/>
      <w:pPr>
        <w:ind w:left="576" w:hanging="360"/>
      </w:pPr>
      <w:rPr>
        <w:rFonts w:ascii="Wingdings" w:hAnsi="Wingdings" w:hint="default"/>
      </w:rPr>
    </w:lvl>
    <w:lvl w:ilvl="1" w:tplc="080C0003" w:tentative="1">
      <w:start w:val="1"/>
      <w:numFmt w:val="bullet"/>
      <w:lvlText w:val="o"/>
      <w:lvlJc w:val="left"/>
      <w:pPr>
        <w:ind w:left="1296" w:hanging="360"/>
      </w:pPr>
      <w:rPr>
        <w:rFonts w:ascii="Courier New" w:hAnsi="Courier New" w:cs="Courier New" w:hint="default"/>
      </w:rPr>
    </w:lvl>
    <w:lvl w:ilvl="2" w:tplc="080C0005" w:tentative="1">
      <w:start w:val="1"/>
      <w:numFmt w:val="bullet"/>
      <w:lvlText w:val=""/>
      <w:lvlJc w:val="left"/>
      <w:pPr>
        <w:ind w:left="2016" w:hanging="360"/>
      </w:pPr>
      <w:rPr>
        <w:rFonts w:ascii="Wingdings" w:hAnsi="Wingdings" w:hint="default"/>
      </w:rPr>
    </w:lvl>
    <w:lvl w:ilvl="3" w:tplc="080C0001" w:tentative="1">
      <w:start w:val="1"/>
      <w:numFmt w:val="bullet"/>
      <w:lvlText w:val=""/>
      <w:lvlJc w:val="left"/>
      <w:pPr>
        <w:ind w:left="2736" w:hanging="360"/>
      </w:pPr>
      <w:rPr>
        <w:rFonts w:ascii="Symbol" w:hAnsi="Symbol" w:hint="default"/>
      </w:rPr>
    </w:lvl>
    <w:lvl w:ilvl="4" w:tplc="080C0003" w:tentative="1">
      <w:start w:val="1"/>
      <w:numFmt w:val="bullet"/>
      <w:lvlText w:val="o"/>
      <w:lvlJc w:val="left"/>
      <w:pPr>
        <w:ind w:left="3456" w:hanging="360"/>
      </w:pPr>
      <w:rPr>
        <w:rFonts w:ascii="Courier New" w:hAnsi="Courier New" w:cs="Courier New" w:hint="default"/>
      </w:rPr>
    </w:lvl>
    <w:lvl w:ilvl="5" w:tplc="080C0005" w:tentative="1">
      <w:start w:val="1"/>
      <w:numFmt w:val="bullet"/>
      <w:lvlText w:val=""/>
      <w:lvlJc w:val="left"/>
      <w:pPr>
        <w:ind w:left="4176" w:hanging="360"/>
      </w:pPr>
      <w:rPr>
        <w:rFonts w:ascii="Wingdings" w:hAnsi="Wingdings" w:hint="default"/>
      </w:rPr>
    </w:lvl>
    <w:lvl w:ilvl="6" w:tplc="080C0001" w:tentative="1">
      <w:start w:val="1"/>
      <w:numFmt w:val="bullet"/>
      <w:lvlText w:val=""/>
      <w:lvlJc w:val="left"/>
      <w:pPr>
        <w:ind w:left="4896" w:hanging="360"/>
      </w:pPr>
      <w:rPr>
        <w:rFonts w:ascii="Symbol" w:hAnsi="Symbol" w:hint="default"/>
      </w:rPr>
    </w:lvl>
    <w:lvl w:ilvl="7" w:tplc="080C0003" w:tentative="1">
      <w:start w:val="1"/>
      <w:numFmt w:val="bullet"/>
      <w:lvlText w:val="o"/>
      <w:lvlJc w:val="left"/>
      <w:pPr>
        <w:ind w:left="5616" w:hanging="360"/>
      </w:pPr>
      <w:rPr>
        <w:rFonts w:ascii="Courier New" w:hAnsi="Courier New" w:cs="Courier New" w:hint="default"/>
      </w:rPr>
    </w:lvl>
    <w:lvl w:ilvl="8" w:tplc="080C0005" w:tentative="1">
      <w:start w:val="1"/>
      <w:numFmt w:val="bullet"/>
      <w:lvlText w:val=""/>
      <w:lvlJc w:val="left"/>
      <w:pPr>
        <w:ind w:left="6336" w:hanging="360"/>
      </w:pPr>
      <w:rPr>
        <w:rFonts w:ascii="Wingdings" w:hAnsi="Wingdings" w:hint="default"/>
      </w:rPr>
    </w:lvl>
  </w:abstractNum>
  <w:abstractNum w:abstractNumId="6" w15:restartNumberingAfterBreak="0">
    <w:nsid w:val="25BD778E"/>
    <w:multiLevelType w:val="hybridMultilevel"/>
    <w:tmpl w:val="BAB2CE3A"/>
    <w:lvl w:ilvl="0" w:tplc="080C000D">
      <w:start w:val="1"/>
      <w:numFmt w:val="bullet"/>
      <w:lvlText w:val=""/>
      <w:lvlJc w:val="left"/>
      <w:pPr>
        <w:ind w:left="780" w:hanging="360"/>
      </w:pPr>
      <w:rPr>
        <w:rFonts w:ascii="Wingdings" w:hAnsi="Wingdings" w:hint="default"/>
      </w:rPr>
    </w:lvl>
    <w:lvl w:ilvl="1" w:tplc="080C0003" w:tentative="1">
      <w:start w:val="1"/>
      <w:numFmt w:val="bullet"/>
      <w:lvlText w:val="o"/>
      <w:lvlJc w:val="left"/>
      <w:pPr>
        <w:ind w:left="1500" w:hanging="360"/>
      </w:pPr>
      <w:rPr>
        <w:rFonts w:ascii="Courier New" w:hAnsi="Courier New" w:cs="Courier New" w:hint="default"/>
      </w:rPr>
    </w:lvl>
    <w:lvl w:ilvl="2" w:tplc="080C0005" w:tentative="1">
      <w:start w:val="1"/>
      <w:numFmt w:val="bullet"/>
      <w:lvlText w:val=""/>
      <w:lvlJc w:val="left"/>
      <w:pPr>
        <w:ind w:left="2220" w:hanging="360"/>
      </w:pPr>
      <w:rPr>
        <w:rFonts w:ascii="Wingdings" w:hAnsi="Wingdings" w:hint="default"/>
      </w:rPr>
    </w:lvl>
    <w:lvl w:ilvl="3" w:tplc="080C0001" w:tentative="1">
      <w:start w:val="1"/>
      <w:numFmt w:val="bullet"/>
      <w:lvlText w:val=""/>
      <w:lvlJc w:val="left"/>
      <w:pPr>
        <w:ind w:left="2940" w:hanging="360"/>
      </w:pPr>
      <w:rPr>
        <w:rFonts w:ascii="Symbol" w:hAnsi="Symbol" w:hint="default"/>
      </w:rPr>
    </w:lvl>
    <w:lvl w:ilvl="4" w:tplc="080C0003" w:tentative="1">
      <w:start w:val="1"/>
      <w:numFmt w:val="bullet"/>
      <w:lvlText w:val="o"/>
      <w:lvlJc w:val="left"/>
      <w:pPr>
        <w:ind w:left="3660" w:hanging="360"/>
      </w:pPr>
      <w:rPr>
        <w:rFonts w:ascii="Courier New" w:hAnsi="Courier New" w:cs="Courier New" w:hint="default"/>
      </w:rPr>
    </w:lvl>
    <w:lvl w:ilvl="5" w:tplc="080C0005" w:tentative="1">
      <w:start w:val="1"/>
      <w:numFmt w:val="bullet"/>
      <w:lvlText w:val=""/>
      <w:lvlJc w:val="left"/>
      <w:pPr>
        <w:ind w:left="4380" w:hanging="360"/>
      </w:pPr>
      <w:rPr>
        <w:rFonts w:ascii="Wingdings" w:hAnsi="Wingdings" w:hint="default"/>
      </w:rPr>
    </w:lvl>
    <w:lvl w:ilvl="6" w:tplc="080C0001" w:tentative="1">
      <w:start w:val="1"/>
      <w:numFmt w:val="bullet"/>
      <w:lvlText w:val=""/>
      <w:lvlJc w:val="left"/>
      <w:pPr>
        <w:ind w:left="5100" w:hanging="360"/>
      </w:pPr>
      <w:rPr>
        <w:rFonts w:ascii="Symbol" w:hAnsi="Symbol" w:hint="default"/>
      </w:rPr>
    </w:lvl>
    <w:lvl w:ilvl="7" w:tplc="080C0003" w:tentative="1">
      <w:start w:val="1"/>
      <w:numFmt w:val="bullet"/>
      <w:lvlText w:val="o"/>
      <w:lvlJc w:val="left"/>
      <w:pPr>
        <w:ind w:left="5820" w:hanging="360"/>
      </w:pPr>
      <w:rPr>
        <w:rFonts w:ascii="Courier New" w:hAnsi="Courier New" w:cs="Courier New" w:hint="default"/>
      </w:rPr>
    </w:lvl>
    <w:lvl w:ilvl="8" w:tplc="080C0005" w:tentative="1">
      <w:start w:val="1"/>
      <w:numFmt w:val="bullet"/>
      <w:lvlText w:val=""/>
      <w:lvlJc w:val="left"/>
      <w:pPr>
        <w:ind w:left="6540" w:hanging="360"/>
      </w:pPr>
      <w:rPr>
        <w:rFonts w:ascii="Wingdings" w:hAnsi="Wingdings" w:hint="default"/>
      </w:rPr>
    </w:lvl>
  </w:abstractNum>
  <w:abstractNum w:abstractNumId="7" w15:restartNumberingAfterBreak="0">
    <w:nsid w:val="2FD259B8"/>
    <w:multiLevelType w:val="hybridMultilevel"/>
    <w:tmpl w:val="D528FEFC"/>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8" w15:restartNumberingAfterBreak="0">
    <w:nsid w:val="43CE65CF"/>
    <w:multiLevelType w:val="hybridMultilevel"/>
    <w:tmpl w:val="AE2E85AA"/>
    <w:lvl w:ilvl="0" w:tplc="080C0017">
      <w:start w:val="1"/>
      <w:numFmt w:val="lowerLetter"/>
      <w:lvlText w:val="%1)"/>
      <w:lvlJc w:val="left"/>
      <w:pPr>
        <w:ind w:left="720" w:hanging="360"/>
      </w:pPr>
      <w:rPr>
        <w:rFonts w:hint="default"/>
        <w:u w:val="none"/>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9" w15:restartNumberingAfterBreak="0">
    <w:nsid w:val="455D36DF"/>
    <w:multiLevelType w:val="multilevel"/>
    <w:tmpl w:val="B3B8491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A1E17B8"/>
    <w:multiLevelType w:val="hybridMultilevel"/>
    <w:tmpl w:val="B50AC0D2"/>
    <w:lvl w:ilvl="0" w:tplc="080C000F">
      <w:start w:val="1"/>
      <w:numFmt w:val="decimal"/>
      <w:lvlText w:val="%1."/>
      <w:lvlJc w:val="left"/>
      <w:pPr>
        <w:ind w:left="720" w:hanging="360"/>
      </w:pPr>
      <w:rPr>
        <w:rFonts w:hint="default"/>
      </w:rPr>
    </w:lvl>
    <w:lvl w:ilvl="1" w:tplc="080C0019">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1" w15:restartNumberingAfterBreak="0">
    <w:nsid w:val="4A2235A0"/>
    <w:multiLevelType w:val="hybridMultilevel"/>
    <w:tmpl w:val="C88A001C"/>
    <w:lvl w:ilvl="0" w:tplc="02C82CFA">
      <w:start w:val="1"/>
      <w:numFmt w:val="upperRoman"/>
      <w:lvlText w:val="%1."/>
      <w:lvlJc w:val="left"/>
      <w:pPr>
        <w:ind w:left="1080" w:hanging="720"/>
      </w:pPr>
      <w:rPr>
        <w:rFonts w:hint="default"/>
      </w:rPr>
    </w:lvl>
    <w:lvl w:ilvl="1" w:tplc="080C0019">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2" w15:restartNumberingAfterBreak="0">
    <w:nsid w:val="4CFD5039"/>
    <w:multiLevelType w:val="hybridMultilevel"/>
    <w:tmpl w:val="2FCE82CA"/>
    <w:lvl w:ilvl="0" w:tplc="080C000F">
      <w:start w:val="1"/>
      <w:numFmt w:val="decimal"/>
      <w:lvlText w:val="%1."/>
      <w:lvlJc w:val="left"/>
      <w:pPr>
        <w:ind w:left="720" w:hanging="360"/>
      </w:pPr>
      <w:rPr>
        <w:rFonts w:hint="default"/>
        <w:i w:val="0"/>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3" w15:restartNumberingAfterBreak="0">
    <w:nsid w:val="4F12255F"/>
    <w:multiLevelType w:val="hybridMultilevel"/>
    <w:tmpl w:val="03BA762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4" w15:restartNumberingAfterBreak="0">
    <w:nsid w:val="4FF94A40"/>
    <w:multiLevelType w:val="hybridMultilevel"/>
    <w:tmpl w:val="5EEA9CFE"/>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5" w15:restartNumberingAfterBreak="0">
    <w:nsid w:val="5FA20670"/>
    <w:multiLevelType w:val="hybridMultilevel"/>
    <w:tmpl w:val="41442BEC"/>
    <w:lvl w:ilvl="0" w:tplc="EA2C3F6E">
      <w:start w:val="1"/>
      <w:numFmt w:val="bullet"/>
      <w:lvlText w:val=""/>
      <w:lvlJc w:val="right"/>
      <w:pPr>
        <w:ind w:left="1069" w:hanging="360"/>
      </w:pPr>
      <w:rPr>
        <w:rFonts w:ascii="Symbol" w:hAnsi="Symbol" w:hint="default"/>
      </w:rPr>
    </w:lvl>
    <w:lvl w:ilvl="1" w:tplc="080C0003" w:tentative="1">
      <w:start w:val="1"/>
      <w:numFmt w:val="bullet"/>
      <w:lvlText w:val="o"/>
      <w:lvlJc w:val="left"/>
      <w:pPr>
        <w:ind w:left="1789" w:hanging="360"/>
      </w:pPr>
      <w:rPr>
        <w:rFonts w:ascii="Courier New" w:hAnsi="Courier New" w:cs="Courier New" w:hint="default"/>
      </w:rPr>
    </w:lvl>
    <w:lvl w:ilvl="2" w:tplc="080C0005" w:tentative="1">
      <w:start w:val="1"/>
      <w:numFmt w:val="bullet"/>
      <w:lvlText w:val=""/>
      <w:lvlJc w:val="left"/>
      <w:pPr>
        <w:ind w:left="2509" w:hanging="360"/>
      </w:pPr>
      <w:rPr>
        <w:rFonts w:ascii="Wingdings" w:hAnsi="Wingdings" w:hint="default"/>
      </w:rPr>
    </w:lvl>
    <w:lvl w:ilvl="3" w:tplc="080C0001" w:tentative="1">
      <w:start w:val="1"/>
      <w:numFmt w:val="bullet"/>
      <w:lvlText w:val=""/>
      <w:lvlJc w:val="left"/>
      <w:pPr>
        <w:ind w:left="3229" w:hanging="360"/>
      </w:pPr>
      <w:rPr>
        <w:rFonts w:ascii="Symbol" w:hAnsi="Symbol" w:hint="default"/>
      </w:rPr>
    </w:lvl>
    <w:lvl w:ilvl="4" w:tplc="080C0003" w:tentative="1">
      <w:start w:val="1"/>
      <w:numFmt w:val="bullet"/>
      <w:lvlText w:val="o"/>
      <w:lvlJc w:val="left"/>
      <w:pPr>
        <w:ind w:left="3949" w:hanging="360"/>
      </w:pPr>
      <w:rPr>
        <w:rFonts w:ascii="Courier New" w:hAnsi="Courier New" w:cs="Courier New" w:hint="default"/>
      </w:rPr>
    </w:lvl>
    <w:lvl w:ilvl="5" w:tplc="080C0005" w:tentative="1">
      <w:start w:val="1"/>
      <w:numFmt w:val="bullet"/>
      <w:lvlText w:val=""/>
      <w:lvlJc w:val="left"/>
      <w:pPr>
        <w:ind w:left="4669" w:hanging="360"/>
      </w:pPr>
      <w:rPr>
        <w:rFonts w:ascii="Wingdings" w:hAnsi="Wingdings" w:hint="default"/>
      </w:rPr>
    </w:lvl>
    <w:lvl w:ilvl="6" w:tplc="080C0001" w:tentative="1">
      <w:start w:val="1"/>
      <w:numFmt w:val="bullet"/>
      <w:lvlText w:val=""/>
      <w:lvlJc w:val="left"/>
      <w:pPr>
        <w:ind w:left="5389" w:hanging="360"/>
      </w:pPr>
      <w:rPr>
        <w:rFonts w:ascii="Symbol" w:hAnsi="Symbol" w:hint="default"/>
      </w:rPr>
    </w:lvl>
    <w:lvl w:ilvl="7" w:tplc="080C0003" w:tentative="1">
      <w:start w:val="1"/>
      <w:numFmt w:val="bullet"/>
      <w:lvlText w:val="o"/>
      <w:lvlJc w:val="left"/>
      <w:pPr>
        <w:ind w:left="6109" w:hanging="360"/>
      </w:pPr>
      <w:rPr>
        <w:rFonts w:ascii="Courier New" w:hAnsi="Courier New" w:cs="Courier New" w:hint="default"/>
      </w:rPr>
    </w:lvl>
    <w:lvl w:ilvl="8" w:tplc="080C0005" w:tentative="1">
      <w:start w:val="1"/>
      <w:numFmt w:val="bullet"/>
      <w:lvlText w:val=""/>
      <w:lvlJc w:val="left"/>
      <w:pPr>
        <w:ind w:left="6829" w:hanging="360"/>
      </w:pPr>
      <w:rPr>
        <w:rFonts w:ascii="Wingdings" w:hAnsi="Wingdings" w:hint="default"/>
      </w:rPr>
    </w:lvl>
  </w:abstractNum>
  <w:abstractNum w:abstractNumId="16" w15:restartNumberingAfterBreak="0">
    <w:nsid w:val="5FF16C9E"/>
    <w:multiLevelType w:val="hybridMultilevel"/>
    <w:tmpl w:val="9656E55A"/>
    <w:lvl w:ilvl="0" w:tplc="610A2E82">
      <w:numFmt w:val="bullet"/>
      <w:lvlText w:val="-"/>
      <w:lvlJc w:val="left"/>
      <w:pPr>
        <w:ind w:left="720" w:hanging="360"/>
      </w:pPr>
      <w:rPr>
        <w:rFonts w:ascii="Times New Roman" w:eastAsia="Arial Unicode MS"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15:restartNumberingAfterBreak="0">
    <w:nsid w:val="609E5739"/>
    <w:multiLevelType w:val="hybridMultilevel"/>
    <w:tmpl w:val="093A5B08"/>
    <w:lvl w:ilvl="0" w:tplc="511E64EC">
      <w:numFmt w:val="bullet"/>
      <w:lvlText w:val="-"/>
      <w:lvlJc w:val="left"/>
      <w:pPr>
        <w:ind w:left="720" w:hanging="360"/>
      </w:pPr>
      <w:rPr>
        <w:rFonts w:ascii="Times New Roman" w:eastAsia="Arial Unicode MS"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8" w15:restartNumberingAfterBreak="0">
    <w:nsid w:val="61827A33"/>
    <w:multiLevelType w:val="multilevel"/>
    <w:tmpl w:val="9EEE775C"/>
    <w:lvl w:ilvl="0">
      <w:start w:val="4"/>
      <w:numFmt w:val="decimal"/>
      <w:lvlText w:val="%1."/>
      <w:lvlJc w:val="left"/>
      <w:pPr>
        <w:ind w:left="360" w:hanging="360"/>
      </w:pPr>
      <w:rPr>
        <w:rFonts w:hint="default"/>
      </w:rPr>
    </w:lvl>
    <w:lvl w:ilvl="1">
      <w:start w:val="1"/>
      <w:numFmt w:val="decimal"/>
      <w:lvlText w:val="%1.%2."/>
      <w:lvlJc w:val="left"/>
      <w:pPr>
        <w:ind w:left="2160" w:hanging="360"/>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6120" w:hanging="72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080" w:hanging="108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040" w:hanging="1440"/>
      </w:pPr>
      <w:rPr>
        <w:rFonts w:hint="default"/>
      </w:rPr>
    </w:lvl>
    <w:lvl w:ilvl="8">
      <w:start w:val="1"/>
      <w:numFmt w:val="decimal"/>
      <w:lvlText w:val="%1.%2.%3.%4.%5.%6.%7.%8.%9."/>
      <w:lvlJc w:val="left"/>
      <w:pPr>
        <w:ind w:left="16200" w:hanging="1800"/>
      </w:pPr>
      <w:rPr>
        <w:rFonts w:hint="default"/>
      </w:rPr>
    </w:lvl>
  </w:abstractNum>
  <w:abstractNum w:abstractNumId="19" w15:restartNumberingAfterBreak="0">
    <w:nsid w:val="61F071EB"/>
    <w:multiLevelType w:val="multilevel"/>
    <w:tmpl w:val="066EF28C"/>
    <w:lvl w:ilvl="0">
      <w:start w:val="4"/>
      <w:numFmt w:val="decimal"/>
      <w:lvlText w:val="%1."/>
      <w:lvlJc w:val="left"/>
      <w:pPr>
        <w:ind w:left="360" w:hanging="360"/>
      </w:pPr>
      <w:rPr>
        <w:rFonts w:hint="default"/>
        <w:u w:val="single"/>
      </w:rPr>
    </w:lvl>
    <w:lvl w:ilvl="1">
      <w:start w:val="1"/>
      <w:numFmt w:val="decimal"/>
      <w:lvlText w:val="%1.%2."/>
      <w:lvlJc w:val="left"/>
      <w:pPr>
        <w:ind w:left="1080" w:hanging="360"/>
      </w:pPr>
      <w:rPr>
        <w:rFonts w:hint="default"/>
        <w:u w:val="single"/>
      </w:rPr>
    </w:lvl>
    <w:lvl w:ilvl="2">
      <w:start w:val="1"/>
      <w:numFmt w:val="decimal"/>
      <w:lvlText w:val="%1.%2.%3."/>
      <w:lvlJc w:val="left"/>
      <w:pPr>
        <w:ind w:left="2160" w:hanging="720"/>
      </w:pPr>
      <w:rPr>
        <w:rFonts w:hint="default"/>
        <w:u w:val="single"/>
      </w:rPr>
    </w:lvl>
    <w:lvl w:ilvl="3">
      <w:start w:val="1"/>
      <w:numFmt w:val="decimal"/>
      <w:lvlText w:val="%1.%2.%3.%4."/>
      <w:lvlJc w:val="left"/>
      <w:pPr>
        <w:ind w:left="2880" w:hanging="72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4680" w:hanging="1080"/>
      </w:pPr>
      <w:rPr>
        <w:rFonts w:hint="default"/>
        <w:u w:val="single"/>
      </w:rPr>
    </w:lvl>
    <w:lvl w:ilvl="6">
      <w:start w:val="1"/>
      <w:numFmt w:val="decimal"/>
      <w:lvlText w:val="%1.%2.%3.%4.%5.%6.%7."/>
      <w:lvlJc w:val="left"/>
      <w:pPr>
        <w:ind w:left="5760" w:hanging="1440"/>
      </w:pPr>
      <w:rPr>
        <w:rFonts w:hint="default"/>
        <w:u w:val="single"/>
      </w:rPr>
    </w:lvl>
    <w:lvl w:ilvl="7">
      <w:start w:val="1"/>
      <w:numFmt w:val="decimal"/>
      <w:lvlText w:val="%1.%2.%3.%4.%5.%6.%7.%8."/>
      <w:lvlJc w:val="left"/>
      <w:pPr>
        <w:ind w:left="6480" w:hanging="1440"/>
      </w:pPr>
      <w:rPr>
        <w:rFonts w:hint="default"/>
        <w:u w:val="single"/>
      </w:rPr>
    </w:lvl>
    <w:lvl w:ilvl="8">
      <w:start w:val="1"/>
      <w:numFmt w:val="decimal"/>
      <w:lvlText w:val="%1.%2.%3.%4.%5.%6.%7.%8.%9."/>
      <w:lvlJc w:val="left"/>
      <w:pPr>
        <w:ind w:left="7560" w:hanging="1800"/>
      </w:pPr>
      <w:rPr>
        <w:rFonts w:hint="default"/>
        <w:u w:val="single"/>
      </w:rPr>
    </w:lvl>
  </w:abstractNum>
  <w:abstractNum w:abstractNumId="20" w15:restartNumberingAfterBreak="0">
    <w:nsid w:val="70D9736D"/>
    <w:multiLevelType w:val="hybridMultilevel"/>
    <w:tmpl w:val="C5DC2F0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1" w15:restartNumberingAfterBreak="0">
    <w:nsid w:val="74954CC6"/>
    <w:multiLevelType w:val="hybridMultilevel"/>
    <w:tmpl w:val="D528FEFC"/>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abstractNumId w:val="6"/>
  </w:num>
  <w:num w:numId="2">
    <w:abstractNumId w:val="11"/>
  </w:num>
  <w:num w:numId="3">
    <w:abstractNumId w:val="10"/>
  </w:num>
  <w:num w:numId="4">
    <w:abstractNumId w:val="12"/>
  </w:num>
  <w:num w:numId="5">
    <w:abstractNumId w:val="20"/>
  </w:num>
  <w:num w:numId="6">
    <w:abstractNumId w:val="17"/>
  </w:num>
  <w:num w:numId="7">
    <w:abstractNumId w:val="0"/>
  </w:num>
  <w:num w:numId="8">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21"/>
  </w:num>
  <w:num w:numId="11">
    <w:abstractNumId w:val="18"/>
  </w:num>
  <w:num w:numId="12">
    <w:abstractNumId w:val="15"/>
  </w:num>
  <w:num w:numId="13">
    <w:abstractNumId w:val="19"/>
  </w:num>
  <w:num w:numId="14">
    <w:abstractNumId w:val="9"/>
  </w:num>
  <w:num w:numId="15">
    <w:abstractNumId w:val="8"/>
  </w:num>
  <w:num w:numId="16">
    <w:abstractNumId w:val="14"/>
  </w:num>
  <w:num w:numId="17">
    <w:abstractNumId w:val="13"/>
  </w:num>
  <w:num w:numId="18">
    <w:abstractNumId w:val="16"/>
  </w:num>
  <w:num w:numId="19">
    <w:abstractNumId w:val="5"/>
  </w:num>
  <w:num w:numId="20">
    <w:abstractNumId w:val="3"/>
  </w:num>
  <w:num w:numId="21">
    <w:abstractNumId w:val="4"/>
  </w:num>
  <w:num w:numId="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revisionView w:inkAnnotations="0"/>
  <w:defaultTabStop w:val="709"/>
  <w:autoHyphenation/>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6EBB"/>
    <w:rsid w:val="00002F75"/>
    <w:rsid w:val="00014326"/>
    <w:rsid w:val="00014E4B"/>
    <w:rsid w:val="000178CD"/>
    <w:rsid w:val="0003020D"/>
    <w:rsid w:val="0003646E"/>
    <w:rsid w:val="0004150F"/>
    <w:rsid w:val="00041922"/>
    <w:rsid w:val="0004377D"/>
    <w:rsid w:val="00045F3A"/>
    <w:rsid w:val="00046761"/>
    <w:rsid w:val="00056FDF"/>
    <w:rsid w:val="00060E5A"/>
    <w:rsid w:val="00065CEF"/>
    <w:rsid w:val="0007021E"/>
    <w:rsid w:val="0007764E"/>
    <w:rsid w:val="000854E9"/>
    <w:rsid w:val="000A1C42"/>
    <w:rsid w:val="000A7702"/>
    <w:rsid w:val="000B2473"/>
    <w:rsid w:val="000B79F2"/>
    <w:rsid w:val="000C2B66"/>
    <w:rsid w:val="000C480B"/>
    <w:rsid w:val="000C6E8A"/>
    <w:rsid w:val="000E0EAB"/>
    <w:rsid w:val="000E6CDD"/>
    <w:rsid w:val="000F12A4"/>
    <w:rsid w:val="00111A73"/>
    <w:rsid w:val="001148D9"/>
    <w:rsid w:val="00114A82"/>
    <w:rsid w:val="00121391"/>
    <w:rsid w:val="00123129"/>
    <w:rsid w:val="00124493"/>
    <w:rsid w:val="001244CC"/>
    <w:rsid w:val="00133003"/>
    <w:rsid w:val="00135B22"/>
    <w:rsid w:val="00145511"/>
    <w:rsid w:val="00165F4F"/>
    <w:rsid w:val="00170897"/>
    <w:rsid w:val="00171143"/>
    <w:rsid w:val="0017726B"/>
    <w:rsid w:val="001A5A3F"/>
    <w:rsid w:val="001B76D2"/>
    <w:rsid w:val="001C2864"/>
    <w:rsid w:val="001C4BEF"/>
    <w:rsid w:val="001C6529"/>
    <w:rsid w:val="001D7C25"/>
    <w:rsid w:val="001E1609"/>
    <w:rsid w:val="001E3ECE"/>
    <w:rsid w:val="001F01A3"/>
    <w:rsid w:val="001F0AEB"/>
    <w:rsid w:val="00202175"/>
    <w:rsid w:val="00207286"/>
    <w:rsid w:val="00211A39"/>
    <w:rsid w:val="00215EF6"/>
    <w:rsid w:val="00221970"/>
    <w:rsid w:val="00236B80"/>
    <w:rsid w:val="00240F89"/>
    <w:rsid w:val="0025218A"/>
    <w:rsid w:val="002579BB"/>
    <w:rsid w:val="00261E63"/>
    <w:rsid w:val="0027478C"/>
    <w:rsid w:val="00291930"/>
    <w:rsid w:val="00292B1A"/>
    <w:rsid w:val="00294D12"/>
    <w:rsid w:val="002A31DD"/>
    <w:rsid w:val="002A37F7"/>
    <w:rsid w:val="002A3A20"/>
    <w:rsid w:val="002A5614"/>
    <w:rsid w:val="002A58D3"/>
    <w:rsid w:val="002A66EB"/>
    <w:rsid w:val="002A7581"/>
    <w:rsid w:val="002B0A9F"/>
    <w:rsid w:val="002D73AF"/>
    <w:rsid w:val="002E6556"/>
    <w:rsid w:val="00307226"/>
    <w:rsid w:val="003206F1"/>
    <w:rsid w:val="003220FE"/>
    <w:rsid w:val="00331010"/>
    <w:rsid w:val="00331B9F"/>
    <w:rsid w:val="00332940"/>
    <w:rsid w:val="00337231"/>
    <w:rsid w:val="0034234F"/>
    <w:rsid w:val="003451A3"/>
    <w:rsid w:val="00345B67"/>
    <w:rsid w:val="00362281"/>
    <w:rsid w:val="003671F4"/>
    <w:rsid w:val="00371708"/>
    <w:rsid w:val="003A1133"/>
    <w:rsid w:val="003B743F"/>
    <w:rsid w:val="003D046E"/>
    <w:rsid w:val="003D684A"/>
    <w:rsid w:val="003E4075"/>
    <w:rsid w:val="003F5A05"/>
    <w:rsid w:val="0040385B"/>
    <w:rsid w:val="004108D4"/>
    <w:rsid w:val="00410907"/>
    <w:rsid w:val="00426BE1"/>
    <w:rsid w:val="00430262"/>
    <w:rsid w:val="0043276A"/>
    <w:rsid w:val="00433DAA"/>
    <w:rsid w:val="00436627"/>
    <w:rsid w:val="00436A99"/>
    <w:rsid w:val="0044011E"/>
    <w:rsid w:val="00440F80"/>
    <w:rsid w:val="0045232B"/>
    <w:rsid w:val="004571EB"/>
    <w:rsid w:val="00467F1D"/>
    <w:rsid w:val="00474855"/>
    <w:rsid w:val="004A01B0"/>
    <w:rsid w:val="004A0EF0"/>
    <w:rsid w:val="004A197C"/>
    <w:rsid w:val="004B0EF5"/>
    <w:rsid w:val="004B0F30"/>
    <w:rsid w:val="004B2942"/>
    <w:rsid w:val="004B61EF"/>
    <w:rsid w:val="004C5C08"/>
    <w:rsid w:val="004D2DA9"/>
    <w:rsid w:val="004E070E"/>
    <w:rsid w:val="004E74BC"/>
    <w:rsid w:val="004F26FB"/>
    <w:rsid w:val="004F73B9"/>
    <w:rsid w:val="0050121A"/>
    <w:rsid w:val="005019A9"/>
    <w:rsid w:val="00512050"/>
    <w:rsid w:val="00523B20"/>
    <w:rsid w:val="005347F4"/>
    <w:rsid w:val="00536F56"/>
    <w:rsid w:val="0054280D"/>
    <w:rsid w:val="00543C38"/>
    <w:rsid w:val="00550848"/>
    <w:rsid w:val="00551E88"/>
    <w:rsid w:val="00552844"/>
    <w:rsid w:val="0055740A"/>
    <w:rsid w:val="00557D2A"/>
    <w:rsid w:val="005633F5"/>
    <w:rsid w:val="005647BA"/>
    <w:rsid w:val="00576E80"/>
    <w:rsid w:val="00577CC3"/>
    <w:rsid w:val="00587788"/>
    <w:rsid w:val="005A2072"/>
    <w:rsid w:val="005A6C76"/>
    <w:rsid w:val="005A7E4A"/>
    <w:rsid w:val="005B2903"/>
    <w:rsid w:val="005C377E"/>
    <w:rsid w:val="005C7EE9"/>
    <w:rsid w:val="005E512C"/>
    <w:rsid w:val="005F030C"/>
    <w:rsid w:val="00602115"/>
    <w:rsid w:val="00602190"/>
    <w:rsid w:val="00604108"/>
    <w:rsid w:val="00612A20"/>
    <w:rsid w:val="0061585D"/>
    <w:rsid w:val="00621380"/>
    <w:rsid w:val="006252E0"/>
    <w:rsid w:val="00641087"/>
    <w:rsid w:val="006418C2"/>
    <w:rsid w:val="00646DF9"/>
    <w:rsid w:val="00647C9F"/>
    <w:rsid w:val="006551F1"/>
    <w:rsid w:val="00660BBF"/>
    <w:rsid w:val="00671635"/>
    <w:rsid w:val="00671D3B"/>
    <w:rsid w:val="006755A6"/>
    <w:rsid w:val="00677EA8"/>
    <w:rsid w:val="00681CF7"/>
    <w:rsid w:val="006A5A96"/>
    <w:rsid w:val="006B0368"/>
    <w:rsid w:val="006B149C"/>
    <w:rsid w:val="006B3F04"/>
    <w:rsid w:val="006D652F"/>
    <w:rsid w:val="006D7F1C"/>
    <w:rsid w:val="006F4C26"/>
    <w:rsid w:val="006F5B06"/>
    <w:rsid w:val="006F6C32"/>
    <w:rsid w:val="006F6E38"/>
    <w:rsid w:val="00703D0D"/>
    <w:rsid w:val="00704C0C"/>
    <w:rsid w:val="00705522"/>
    <w:rsid w:val="007111B2"/>
    <w:rsid w:val="007112BD"/>
    <w:rsid w:val="00712B25"/>
    <w:rsid w:val="00715A01"/>
    <w:rsid w:val="007232C4"/>
    <w:rsid w:val="00727D89"/>
    <w:rsid w:val="007547C0"/>
    <w:rsid w:val="00756EBB"/>
    <w:rsid w:val="00771DD1"/>
    <w:rsid w:val="0077488B"/>
    <w:rsid w:val="00774E86"/>
    <w:rsid w:val="007806A5"/>
    <w:rsid w:val="00796E31"/>
    <w:rsid w:val="007A02D1"/>
    <w:rsid w:val="007B202C"/>
    <w:rsid w:val="007B5713"/>
    <w:rsid w:val="007B68A3"/>
    <w:rsid w:val="007C0711"/>
    <w:rsid w:val="007C17F2"/>
    <w:rsid w:val="007D008A"/>
    <w:rsid w:val="007D258B"/>
    <w:rsid w:val="007D4809"/>
    <w:rsid w:val="007D4B35"/>
    <w:rsid w:val="007E4C91"/>
    <w:rsid w:val="007E78F0"/>
    <w:rsid w:val="0081423B"/>
    <w:rsid w:val="00817702"/>
    <w:rsid w:val="00817D3F"/>
    <w:rsid w:val="00822DEE"/>
    <w:rsid w:val="008332CD"/>
    <w:rsid w:val="00834670"/>
    <w:rsid w:val="00836200"/>
    <w:rsid w:val="0083628D"/>
    <w:rsid w:val="00845D50"/>
    <w:rsid w:val="0084653D"/>
    <w:rsid w:val="0084786D"/>
    <w:rsid w:val="00852965"/>
    <w:rsid w:val="00854546"/>
    <w:rsid w:val="0087237B"/>
    <w:rsid w:val="00873479"/>
    <w:rsid w:val="00874CFC"/>
    <w:rsid w:val="008761D0"/>
    <w:rsid w:val="008820CB"/>
    <w:rsid w:val="0088358C"/>
    <w:rsid w:val="00891769"/>
    <w:rsid w:val="008918B8"/>
    <w:rsid w:val="00891A96"/>
    <w:rsid w:val="008924FF"/>
    <w:rsid w:val="00896468"/>
    <w:rsid w:val="008A2739"/>
    <w:rsid w:val="008C33D3"/>
    <w:rsid w:val="008D369D"/>
    <w:rsid w:val="008D646C"/>
    <w:rsid w:val="008E3FC6"/>
    <w:rsid w:val="008F6C05"/>
    <w:rsid w:val="00902C85"/>
    <w:rsid w:val="00905BD6"/>
    <w:rsid w:val="00907E2A"/>
    <w:rsid w:val="00911BC6"/>
    <w:rsid w:val="00914D57"/>
    <w:rsid w:val="009258AE"/>
    <w:rsid w:val="00926CE0"/>
    <w:rsid w:val="00933C25"/>
    <w:rsid w:val="0094390A"/>
    <w:rsid w:val="00945E90"/>
    <w:rsid w:val="009510AC"/>
    <w:rsid w:val="00965BEA"/>
    <w:rsid w:val="00973505"/>
    <w:rsid w:val="0097792C"/>
    <w:rsid w:val="009847E8"/>
    <w:rsid w:val="009A6BC1"/>
    <w:rsid w:val="009B1B74"/>
    <w:rsid w:val="009B2A5D"/>
    <w:rsid w:val="009B3214"/>
    <w:rsid w:val="009B4C23"/>
    <w:rsid w:val="009C0D0A"/>
    <w:rsid w:val="009C2384"/>
    <w:rsid w:val="009C3806"/>
    <w:rsid w:val="009C46E8"/>
    <w:rsid w:val="009C4A72"/>
    <w:rsid w:val="009D2A9B"/>
    <w:rsid w:val="009D7A52"/>
    <w:rsid w:val="009E1560"/>
    <w:rsid w:val="009E5C42"/>
    <w:rsid w:val="009F5424"/>
    <w:rsid w:val="00A02753"/>
    <w:rsid w:val="00A02B50"/>
    <w:rsid w:val="00A034FF"/>
    <w:rsid w:val="00A145F1"/>
    <w:rsid w:val="00A208BE"/>
    <w:rsid w:val="00A2342B"/>
    <w:rsid w:val="00A24A01"/>
    <w:rsid w:val="00A35AF9"/>
    <w:rsid w:val="00A41848"/>
    <w:rsid w:val="00A419E1"/>
    <w:rsid w:val="00A44F7D"/>
    <w:rsid w:val="00A46238"/>
    <w:rsid w:val="00A56F36"/>
    <w:rsid w:val="00A6529F"/>
    <w:rsid w:val="00A65874"/>
    <w:rsid w:val="00A85BCA"/>
    <w:rsid w:val="00AA28D7"/>
    <w:rsid w:val="00AA5E3C"/>
    <w:rsid w:val="00AA5FD4"/>
    <w:rsid w:val="00AB2E96"/>
    <w:rsid w:val="00AB7B0A"/>
    <w:rsid w:val="00AC3362"/>
    <w:rsid w:val="00AD7455"/>
    <w:rsid w:val="00AE460D"/>
    <w:rsid w:val="00AF2C4C"/>
    <w:rsid w:val="00B02902"/>
    <w:rsid w:val="00B05732"/>
    <w:rsid w:val="00B1123B"/>
    <w:rsid w:val="00B133D8"/>
    <w:rsid w:val="00B13A94"/>
    <w:rsid w:val="00B14E18"/>
    <w:rsid w:val="00B14E61"/>
    <w:rsid w:val="00B17BFB"/>
    <w:rsid w:val="00B20295"/>
    <w:rsid w:val="00B224E8"/>
    <w:rsid w:val="00B23E15"/>
    <w:rsid w:val="00B2492E"/>
    <w:rsid w:val="00B27233"/>
    <w:rsid w:val="00B30F97"/>
    <w:rsid w:val="00B35F9E"/>
    <w:rsid w:val="00B42984"/>
    <w:rsid w:val="00B42B06"/>
    <w:rsid w:val="00B43D7C"/>
    <w:rsid w:val="00B4732A"/>
    <w:rsid w:val="00B5417E"/>
    <w:rsid w:val="00B60FBD"/>
    <w:rsid w:val="00B8206D"/>
    <w:rsid w:val="00B96575"/>
    <w:rsid w:val="00B97442"/>
    <w:rsid w:val="00BA089D"/>
    <w:rsid w:val="00BA4CB9"/>
    <w:rsid w:val="00BB1908"/>
    <w:rsid w:val="00BB78C3"/>
    <w:rsid w:val="00BD60CE"/>
    <w:rsid w:val="00BE1FAD"/>
    <w:rsid w:val="00BE39D7"/>
    <w:rsid w:val="00BF1521"/>
    <w:rsid w:val="00BF3730"/>
    <w:rsid w:val="00C0290A"/>
    <w:rsid w:val="00C044ED"/>
    <w:rsid w:val="00C055CB"/>
    <w:rsid w:val="00C068F8"/>
    <w:rsid w:val="00C06BB5"/>
    <w:rsid w:val="00C14E36"/>
    <w:rsid w:val="00C166C1"/>
    <w:rsid w:val="00C25122"/>
    <w:rsid w:val="00C347A0"/>
    <w:rsid w:val="00C37250"/>
    <w:rsid w:val="00C37861"/>
    <w:rsid w:val="00C652B7"/>
    <w:rsid w:val="00C6757E"/>
    <w:rsid w:val="00C74467"/>
    <w:rsid w:val="00C8448F"/>
    <w:rsid w:val="00C87B74"/>
    <w:rsid w:val="00C90D74"/>
    <w:rsid w:val="00C9727C"/>
    <w:rsid w:val="00CB0FB8"/>
    <w:rsid w:val="00CB40F8"/>
    <w:rsid w:val="00CC0072"/>
    <w:rsid w:val="00CC0A9A"/>
    <w:rsid w:val="00CD1251"/>
    <w:rsid w:val="00CD16CC"/>
    <w:rsid w:val="00CE0C57"/>
    <w:rsid w:val="00CF2B89"/>
    <w:rsid w:val="00CF389B"/>
    <w:rsid w:val="00D109F3"/>
    <w:rsid w:val="00D121F6"/>
    <w:rsid w:val="00D22E92"/>
    <w:rsid w:val="00D372F2"/>
    <w:rsid w:val="00D42A19"/>
    <w:rsid w:val="00D47AF8"/>
    <w:rsid w:val="00D5583F"/>
    <w:rsid w:val="00D56BE8"/>
    <w:rsid w:val="00D63190"/>
    <w:rsid w:val="00D63DF2"/>
    <w:rsid w:val="00D734D7"/>
    <w:rsid w:val="00D73AD9"/>
    <w:rsid w:val="00D7622D"/>
    <w:rsid w:val="00D7629C"/>
    <w:rsid w:val="00D922CC"/>
    <w:rsid w:val="00D95716"/>
    <w:rsid w:val="00DB20B3"/>
    <w:rsid w:val="00DB4D30"/>
    <w:rsid w:val="00DC630E"/>
    <w:rsid w:val="00DC712F"/>
    <w:rsid w:val="00DD02D8"/>
    <w:rsid w:val="00DD29B2"/>
    <w:rsid w:val="00DD4C2B"/>
    <w:rsid w:val="00DE01D2"/>
    <w:rsid w:val="00DE2BB1"/>
    <w:rsid w:val="00DE5EFF"/>
    <w:rsid w:val="00DE6C7F"/>
    <w:rsid w:val="00E0114B"/>
    <w:rsid w:val="00E05C43"/>
    <w:rsid w:val="00E17568"/>
    <w:rsid w:val="00E272E1"/>
    <w:rsid w:val="00E33D42"/>
    <w:rsid w:val="00E3798C"/>
    <w:rsid w:val="00E44FEE"/>
    <w:rsid w:val="00E46005"/>
    <w:rsid w:val="00E509CB"/>
    <w:rsid w:val="00E5182D"/>
    <w:rsid w:val="00E60675"/>
    <w:rsid w:val="00E6089D"/>
    <w:rsid w:val="00E61FA2"/>
    <w:rsid w:val="00E633D4"/>
    <w:rsid w:val="00E77EA1"/>
    <w:rsid w:val="00E85ADD"/>
    <w:rsid w:val="00E879A8"/>
    <w:rsid w:val="00E95584"/>
    <w:rsid w:val="00E9706D"/>
    <w:rsid w:val="00E9776E"/>
    <w:rsid w:val="00EA2CDD"/>
    <w:rsid w:val="00EA5F36"/>
    <w:rsid w:val="00EB0F85"/>
    <w:rsid w:val="00EC4E39"/>
    <w:rsid w:val="00ED21BF"/>
    <w:rsid w:val="00ED5F43"/>
    <w:rsid w:val="00EE15A7"/>
    <w:rsid w:val="00EE49C2"/>
    <w:rsid w:val="00EE7E47"/>
    <w:rsid w:val="00EF2807"/>
    <w:rsid w:val="00EF6151"/>
    <w:rsid w:val="00F00549"/>
    <w:rsid w:val="00F02D23"/>
    <w:rsid w:val="00F04D11"/>
    <w:rsid w:val="00F0587D"/>
    <w:rsid w:val="00F077D7"/>
    <w:rsid w:val="00F11990"/>
    <w:rsid w:val="00F34966"/>
    <w:rsid w:val="00F4310C"/>
    <w:rsid w:val="00F56105"/>
    <w:rsid w:val="00F5760E"/>
    <w:rsid w:val="00F5761F"/>
    <w:rsid w:val="00F621E2"/>
    <w:rsid w:val="00F737EA"/>
    <w:rsid w:val="00F74102"/>
    <w:rsid w:val="00F877E3"/>
    <w:rsid w:val="00F96394"/>
    <w:rsid w:val="00FA5395"/>
    <w:rsid w:val="00FA7326"/>
    <w:rsid w:val="00FA754A"/>
    <w:rsid w:val="00FB7612"/>
    <w:rsid w:val="00FC449C"/>
    <w:rsid w:val="00FD1CC4"/>
    <w:rsid w:val="00FD5ECA"/>
    <w:rsid w:val="00FD7709"/>
    <w:rsid w:val="00FD7909"/>
    <w:rsid w:val="00FF6109"/>
    <w:rsid w:val="00FF74A3"/>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ahoma"/>
        <w:kern w:val="3"/>
        <w:sz w:val="24"/>
        <w:szCs w:val="24"/>
        <w:lang w:val="en-GB" w:eastAsia="fr-BE" w:bidi="ar-SA"/>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fr-BE"/>
    </w:rPr>
  </w:style>
  <w:style w:type="paragraph" w:styleId="Titre1">
    <w:name w:val="heading 1"/>
    <w:basedOn w:val="Heading"/>
    <w:next w:val="Textbody"/>
    <w:pPr>
      <w:outlineLvl w:val="0"/>
    </w:pPr>
    <w:rPr>
      <w:rFonts w:ascii="Times New Roman" w:eastAsia="Arial Unicode MS" w:hAnsi="Times New Roman"/>
      <w:b/>
      <w:bCs/>
      <w:sz w:val="48"/>
      <w:szCs w:val="48"/>
    </w:rPr>
  </w:style>
  <w:style w:type="paragraph" w:styleId="Titre2">
    <w:name w:val="heading 2"/>
    <w:basedOn w:val="Normal"/>
    <w:next w:val="Normal"/>
    <w:link w:val="Titre2Car"/>
    <w:uiPriority w:val="9"/>
    <w:unhideWhenUsed/>
    <w:qFormat/>
    <w:rsid w:val="00F621E2"/>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style>
  <w:style w:type="paragraph" w:customStyle="1" w:styleId="Textbody">
    <w:name w:val="Text body"/>
    <w:basedOn w:val="Standard"/>
    <w:pPr>
      <w:spacing w:after="120"/>
    </w:pPr>
  </w:style>
  <w:style w:type="paragraph" w:customStyle="1" w:styleId="Heading">
    <w:name w:val="Heading"/>
    <w:basedOn w:val="Standard"/>
    <w:next w:val="Textbody"/>
    <w:pPr>
      <w:keepNext/>
      <w:spacing w:before="240" w:after="120"/>
    </w:pPr>
    <w:rPr>
      <w:rFonts w:ascii="Arial" w:eastAsia="MS Mincho" w:hAnsi="Arial"/>
      <w:sz w:val="28"/>
      <w:szCs w:val="28"/>
    </w:rPr>
  </w:style>
  <w:style w:type="paragraph" w:styleId="Liste">
    <w:name w:val="List"/>
    <w:basedOn w:val="Textbody"/>
  </w:style>
  <w:style w:type="paragraph" w:styleId="En-tte">
    <w:name w:val="header"/>
    <w:basedOn w:val="Standard"/>
    <w:link w:val="En-tteCar"/>
    <w:uiPriority w:val="99"/>
    <w:pPr>
      <w:suppressLineNumbers/>
      <w:tabs>
        <w:tab w:val="center" w:pos="4818"/>
        <w:tab w:val="right" w:pos="9637"/>
      </w:tabs>
    </w:p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styleId="Lgende">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Textebrut">
    <w:name w:val="Plain Text"/>
    <w:basedOn w:val="Standard"/>
    <w:link w:val="TextebrutCar"/>
    <w:pPr>
      <w:widowControl/>
    </w:pPr>
    <w:rPr>
      <w:rFonts w:ascii="Courier New" w:eastAsia="Arial" w:hAnsi="Courier New" w:cs="Courier New"/>
      <w:sz w:val="20"/>
      <w:szCs w:val="20"/>
    </w:rPr>
  </w:style>
  <w:style w:type="paragraph" w:customStyle="1" w:styleId="PreformattedText">
    <w:name w:val="Preformatted Text"/>
    <w:basedOn w:val="Standard"/>
    <w:rPr>
      <w:rFonts w:ascii="Cumberland AMT" w:eastAsia="Cumberland AMT" w:hAnsi="Cumberland AMT" w:cs="Cumberland AMT"/>
      <w:sz w:val="20"/>
      <w:szCs w:val="20"/>
    </w:rPr>
  </w:style>
  <w:style w:type="character" w:customStyle="1" w:styleId="NumberingSymbols">
    <w:name w:val="Numbering Symbols"/>
  </w:style>
  <w:style w:type="character" w:customStyle="1" w:styleId="BulletSymbols">
    <w:name w:val="Bullet Symbols"/>
    <w:rPr>
      <w:rFonts w:ascii="StarSymbol" w:eastAsia="StarSymbol" w:hAnsi="StarSymbol" w:cs="StarSymbol"/>
      <w:sz w:val="18"/>
      <w:szCs w:val="18"/>
    </w:rPr>
  </w:style>
  <w:style w:type="paragraph" w:styleId="Textedebulles">
    <w:name w:val="Balloon Text"/>
    <w:basedOn w:val="Normal"/>
    <w:link w:val="TextedebullesCar"/>
    <w:uiPriority w:val="99"/>
    <w:semiHidden/>
    <w:unhideWhenUsed/>
    <w:rsid w:val="00DB4D30"/>
    <w:rPr>
      <w:rFonts w:ascii="Tahoma" w:hAnsi="Tahoma"/>
      <w:sz w:val="16"/>
      <w:szCs w:val="16"/>
    </w:rPr>
  </w:style>
  <w:style w:type="character" w:customStyle="1" w:styleId="TextedebullesCar">
    <w:name w:val="Texte de bulles Car"/>
    <w:basedOn w:val="Policepardfaut"/>
    <w:link w:val="Textedebulles"/>
    <w:uiPriority w:val="99"/>
    <w:semiHidden/>
    <w:rsid w:val="00DB4D30"/>
    <w:rPr>
      <w:rFonts w:ascii="Tahoma" w:hAnsi="Tahoma"/>
      <w:sz w:val="16"/>
      <w:szCs w:val="16"/>
    </w:rPr>
  </w:style>
  <w:style w:type="paragraph" w:styleId="Pieddepage">
    <w:name w:val="footer"/>
    <w:basedOn w:val="Normal"/>
    <w:link w:val="PieddepageCar"/>
    <w:uiPriority w:val="99"/>
    <w:unhideWhenUsed/>
    <w:rsid w:val="00DB4D30"/>
    <w:pPr>
      <w:tabs>
        <w:tab w:val="center" w:pos="4513"/>
        <w:tab w:val="right" w:pos="9026"/>
      </w:tabs>
    </w:pPr>
  </w:style>
  <w:style w:type="character" w:customStyle="1" w:styleId="PieddepageCar">
    <w:name w:val="Pied de page Car"/>
    <w:basedOn w:val="Policepardfaut"/>
    <w:link w:val="Pieddepage"/>
    <w:uiPriority w:val="99"/>
    <w:rsid w:val="00DB4D30"/>
  </w:style>
  <w:style w:type="paragraph" w:customStyle="1" w:styleId="P17">
    <w:name w:val="P17"/>
    <w:basedOn w:val="Normal"/>
    <w:hidden/>
    <w:rsid w:val="00DB4D30"/>
    <w:pPr>
      <w:suppressAutoHyphens w:val="0"/>
      <w:autoSpaceDN/>
      <w:adjustRightInd w:val="0"/>
      <w:ind w:right="24"/>
      <w:jc w:val="center"/>
      <w:textAlignment w:val="auto"/>
    </w:pPr>
    <w:rPr>
      <w:rFonts w:eastAsia="Times New Roman" w:cs="MS Sans Serif"/>
      <w:kern w:val="0"/>
      <w:sz w:val="20"/>
      <w:szCs w:val="20"/>
      <w:lang w:val="en-US" w:eastAsia="en-US"/>
    </w:rPr>
  </w:style>
  <w:style w:type="character" w:customStyle="1" w:styleId="T8">
    <w:name w:val="T8"/>
    <w:hidden/>
    <w:rsid w:val="00DB4D30"/>
    <w:rPr>
      <w:b/>
      <w:position w:val="0"/>
      <w:sz w:val="24"/>
      <w:vertAlign w:val="superscript"/>
    </w:rPr>
  </w:style>
  <w:style w:type="character" w:customStyle="1" w:styleId="T16">
    <w:name w:val="T16"/>
    <w:hidden/>
    <w:rsid w:val="00DB4D30"/>
    <w:rPr>
      <w:b/>
      <w:sz w:val="24"/>
    </w:rPr>
  </w:style>
  <w:style w:type="character" w:customStyle="1" w:styleId="Titre2Car">
    <w:name w:val="Titre 2 Car"/>
    <w:basedOn w:val="Policepardfaut"/>
    <w:link w:val="Titre2"/>
    <w:uiPriority w:val="9"/>
    <w:rsid w:val="00F621E2"/>
    <w:rPr>
      <w:rFonts w:asciiTheme="majorHAnsi" w:eastAsiaTheme="majorEastAsia" w:hAnsiTheme="majorHAnsi" w:cstheme="majorBidi"/>
      <w:b/>
      <w:bCs/>
      <w:color w:val="4F81BD" w:themeColor="accent1"/>
      <w:sz w:val="26"/>
      <w:szCs w:val="26"/>
    </w:rPr>
  </w:style>
  <w:style w:type="character" w:styleId="Numrodepage">
    <w:name w:val="page number"/>
    <w:basedOn w:val="Policepardfaut"/>
    <w:rsid w:val="00F621E2"/>
  </w:style>
  <w:style w:type="character" w:customStyle="1" w:styleId="En-tteCar">
    <w:name w:val="En-tête Car"/>
    <w:basedOn w:val="Policepardfaut"/>
    <w:link w:val="En-tte"/>
    <w:uiPriority w:val="99"/>
    <w:rsid w:val="000A7702"/>
  </w:style>
  <w:style w:type="character" w:customStyle="1" w:styleId="TextebrutCar">
    <w:name w:val="Texte brut Car"/>
    <w:basedOn w:val="Policepardfaut"/>
    <w:link w:val="Textebrut"/>
    <w:rsid w:val="00F74102"/>
    <w:rPr>
      <w:rFonts w:ascii="Courier New" w:eastAsia="Arial" w:hAnsi="Courier New" w:cs="Courier New"/>
      <w:sz w:val="20"/>
      <w:szCs w:val="20"/>
    </w:rPr>
  </w:style>
  <w:style w:type="paragraph" w:styleId="Sous-titre">
    <w:name w:val="Subtitle"/>
    <w:basedOn w:val="Normal"/>
    <w:link w:val="Sous-titreCar"/>
    <w:qFormat/>
    <w:rsid w:val="00B17BFB"/>
    <w:pPr>
      <w:suppressAutoHyphens w:val="0"/>
      <w:autoSpaceDN/>
      <w:snapToGrid w:val="0"/>
      <w:textAlignment w:val="auto"/>
    </w:pPr>
    <w:rPr>
      <w:rFonts w:ascii="Bookman Old Style" w:eastAsia="Times New Roman" w:hAnsi="Bookman Old Style" w:cs="Times New Roman"/>
      <w:b/>
      <w:kern w:val="0"/>
      <w:sz w:val="22"/>
      <w:szCs w:val="20"/>
      <w:lang w:val="fr-FR" w:eastAsia="fr-FR"/>
    </w:rPr>
  </w:style>
  <w:style w:type="character" w:customStyle="1" w:styleId="Sous-titreCar">
    <w:name w:val="Sous-titre Car"/>
    <w:basedOn w:val="Policepardfaut"/>
    <w:link w:val="Sous-titre"/>
    <w:rsid w:val="00B17BFB"/>
    <w:rPr>
      <w:rFonts w:ascii="Bookman Old Style" w:eastAsia="Times New Roman" w:hAnsi="Bookman Old Style" w:cs="Times New Roman"/>
      <w:b/>
      <w:kern w:val="0"/>
      <w:sz w:val="22"/>
      <w:szCs w:val="20"/>
      <w:lang w:val="fr-FR" w:eastAsia="fr-FR"/>
    </w:rPr>
  </w:style>
  <w:style w:type="paragraph" w:styleId="Notedebasdepage">
    <w:name w:val="footnote text"/>
    <w:aliases w:val="Note de bas de page Car1 Car,Note de bas de page Car Car Car,Note de bas de page Car1 Car Car Car,Note de bas de page Car Car Car Car Car,Note de bas de page Car1 Car Car Car Car Car"/>
    <w:basedOn w:val="Normal"/>
    <w:link w:val="NotedebasdepageCar"/>
    <w:unhideWhenUsed/>
    <w:rsid w:val="006755A6"/>
    <w:rPr>
      <w:sz w:val="20"/>
      <w:szCs w:val="20"/>
    </w:rPr>
  </w:style>
  <w:style w:type="character" w:customStyle="1" w:styleId="NotedebasdepageCar">
    <w:name w:val="Note de bas de page Car"/>
    <w:aliases w:val="Note de bas de page Car1 Car Car,Note de bas de page Car Car Car Car,Note de bas de page Car1 Car Car Car Car,Note de bas de page Car Car Car Car Car Car,Note de bas de page Car1 Car Car Car Car Car Car"/>
    <w:basedOn w:val="Policepardfaut"/>
    <w:link w:val="Notedebasdepage"/>
    <w:rsid w:val="006755A6"/>
    <w:rPr>
      <w:sz w:val="20"/>
      <w:szCs w:val="20"/>
    </w:rPr>
  </w:style>
  <w:style w:type="character" w:styleId="Appelnotedebasdep">
    <w:name w:val="footnote reference"/>
    <w:rsid w:val="006755A6"/>
  </w:style>
  <w:style w:type="paragraph" w:styleId="Corpsdetexte3">
    <w:name w:val="Body Text 3"/>
    <w:basedOn w:val="Normal"/>
    <w:link w:val="Corpsdetexte3Car"/>
    <w:rsid w:val="006755A6"/>
    <w:pPr>
      <w:suppressAutoHyphens w:val="0"/>
      <w:autoSpaceDN/>
      <w:spacing w:after="120"/>
      <w:textAlignment w:val="auto"/>
    </w:pPr>
    <w:rPr>
      <w:rFonts w:ascii="Courier" w:eastAsia="Times New Roman" w:hAnsi="Courier" w:cs="Times New Roman"/>
      <w:snapToGrid w:val="0"/>
      <w:kern w:val="0"/>
      <w:sz w:val="16"/>
      <w:szCs w:val="16"/>
      <w:lang w:eastAsia="fr-FR"/>
    </w:rPr>
  </w:style>
  <w:style w:type="character" w:customStyle="1" w:styleId="Corpsdetexte3Car">
    <w:name w:val="Corps de texte 3 Car"/>
    <w:basedOn w:val="Policepardfaut"/>
    <w:link w:val="Corpsdetexte3"/>
    <w:rsid w:val="006755A6"/>
    <w:rPr>
      <w:rFonts w:ascii="Courier" w:eastAsia="Times New Roman" w:hAnsi="Courier" w:cs="Times New Roman"/>
      <w:snapToGrid w:val="0"/>
      <w:kern w:val="0"/>
      <w:sz w:val="16"/>
      <w:szCs w:val="16"/>
      <w:lang w:val="fr-BE" w:eastAsia="fr-FR"/>
    </w:rPr>
  </w:style>
  <w:style w:type="character" w:styleId="Lienhypertexte">
    <w:name w:val="Hyperlink"/>
    <w:unhideWhenUsed/>
    <w:rsid w:val="006755A6"/>
    <w:rPr>
      <w:color w:val="0000FF"/>
      <w:u w:val="single"/>
    </w:rPr>
  </w:style>
  <w:style w:type="paragraph" w:styleId="Paragraphedeliste">
    <w:name w:val="List Paragraph"/>
    <w:basedOn w:val="Normal"/>
    <w:uiPriority w:val="34"/>
    <w:qFormat/>
    <w:rsid w:val="006755A6"/>
    <w:pPr>
      <w:ind w:left="720"/>
      <w:contextualSpacing/>
    </w:pPr>
  </w:style>
  <w:style w:type="paragraph" w:customStyle="1" w:styleId="Correctionautomatique">
    <w:name w:val="Correction automatique"/>
    <w:rsid w:val="00523B20"/>
    <w:pPr>
      <w:widowControl/>
      <w:suppressAutoHyphens w:val="0"/>
      <w:autoSpaceDN/>
      <w:spacing w:after="160" w:line="259" w:lineRule="auto"/>
      <w:textAlignment w:val="auto"/>
    </w:pPr>
    <w:rPr>
      <w:rFonts w:asciiTheme="minorHAnsi" w:eastAsiaTheme="minorEastAsia" w:hAnsiTheme="minorHAnsi" w:cstheme="minorBidi"/>
      <w:kern w:val="0"/>
      <w:sz w:val="22"/>
      <w:szCs w:val="22"/>
      <w:lang w:val="fr-BE"/>
    </w:rPr>
  </w:style>
  <w:style w:type="paragraph" w:customStyle="1" w:styleId="Default">
    <w:name w:val="Default"/>
    <w:rsid w:val="0003646E"/>
    <w:pPr>
      <w:widowControl/>
      <w:suppressAutoHyphens w:val="0"/>
      <w:autoSpaceDE w:val="0"/>
      <w:adjustRightInd w:val="0"/>
      <w:textAlignment w:val="auto"/>
    </w:pPr>
    <w:rPr>
      <w:rFonts w:ascii="Arial" w:eastAsiaTheme="minorHAnsi" w:hAnsi="Arial" w:cs="Arial"/>
      <w:color w:val="000000"/>
      <w:kern w:val="0"/>
      <w:lang w:val="fr-B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2385470">
      <w:bodyDiv w:val="1"/>
      <w:marLeft w:val="0"/>
      <w:marRight w:val="0"/>
      <w:marTop w:val="0"/>
      <w:marBottom w:val="0"/>
      <w:divBdr>
        <w:top w:val="none" w:sz="0" w:space="0" w:color="auto"/>
        <w:left w:val="none" w:sz="0" w:space="0" w:color="auto"/>
        <w:bottom w:val="none" w:sz="0" w:space="0" w:color="auto"/>
        <w:right w:val="none" w:sz="0" w:space="0" w:color="auto"/>
      </w:divBdr>
    </w:div>
    <w:div w:id="1209688673">
      <w:bodyDiv w:val="1"/>
      <w:marLeft w:val="0"/>
      <w:marRight w:val="0"/>
      <w:marTop w:val="0"/>
      <w:marBottom w:val="0"/>
      <w:divBdr>
        <w:top w:val="none" w:sz="0" w:space="0" w:color="auto"/>
        <w:left w:val="none" w:sz="0" w:space="0" w:color="auto"/>
        <w:bottom w:val="none" w:sz="0" w:space="0" w:color="auto"/>
        <w:right w:val="none" w:sz="0" w:space="0" w:color="auto"/>
      </w:divBdr>
    </w:div>
    <w:div w:id="1361780486">
      <w:bodyDiv w:val="1"/>
      <w:marLeft w:val="0"/>
      <w:marRight w:val="0"/>
      <w:marTop w:val="0"/>
      <w:marBottom w:val="0"/>
      <w:divBdr>
        <w:top w:val="none" w:sz="0" w:space="0" w:color="auto"/>
        <w:left w:val="none" w:sz="0" w:space="0" w:color="auto"/>
        <w:bottom w:val="none" w:sz="0" w:space="0" w:color="auto"/>
        <w:right w:val="none" w:sz="0" w:space="0" w:color="auto"/>
      </w:divBdr>
    </w:div>
    <w:div w:id="1379283647">
      <w:bodyDiv w:val="1"/>
      <w:marLeft w:val="0"/>
      <w:marRight w:val="0"/>
      <w:marTop w:val="0"/>
      <w:marBottom w:val="0"/>
      <w:divBdr>
        <w:top w:val="none" w:sz="0" w:space="0" w:color="auto"/>
        <w:left w:val="none" w:sz="0" w:space="0" w:color="auto"/>
        <w:bottom w:val="none" w:sz="0" w:space="0" w:color="auto"/>
        <w:right w:val="none" w:sz="0" w:space="0" w:color="auto"/>
      </w:divBdr>
    </w:div>
    <w:div w:id="16470068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www.juportal.b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3591B7-AF85-45F4-905D-7353877089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1929</Words>
  <Characters>10610</Characters>
  <Application>Microsoft Office Word</Application>
  <DocSecurity>4</DocSecurity>
  <Lines>88</Lines>
  <Paragraphs>25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2022-09-01T07:55:00Z</dcterms:created>
  <dcterms:modified xsi:type="dcterms:W3CDTF">2022-09-01T07:55:00Z</dcterms:modified>
</cp:coreProperties>
</file>