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1A" w:rsidRPr="003E0CBB" w:rsidRDefault="00CE2A1A" w:rsidP="00CE2A1A">
      <w:pPr>
        <w:pStyle w:val="Titre5"/>
        <w:rPr>
          <w:rFonts w:asciiTheme="minorHAnsi" w:hAnsiTheme="minorHAnsi" w:cstheme="minorHAnsi"/>
          <w:sz w:val="32"/>
        </w:rPr>
      </w:pPr>
    </w:p>
    <w:p w:rsidR="00CE2A1A" w:rsidRDefault="00CE2A1A" w:rsidP="005D0C33">
      <w:pPr>
        <w:pStyle w:val="Titre5"/>
        <w:rPr>
          <w:rFonts w:ascii="Palatino Linotype" w:hAnsi="Palatino Linotype" w:cstheme="minorHAnsi"/>
          <w:sz w:val="22"/>
          <w:szCs w:val="22"/>
        </w:rPr>
      </w:pPr>
      <w:r w:rsidRPr="005D0C33">
        <w:rPr>
          <w:rFonts w:ascii="Palatino Linotype" w:hAnsi="Palatino Linotype" w:cstheme="minorHAnsi"/>
          <w:sz w:val="22"/>
          <w:szCs w:val="22"/>
        </w:rPr>
        <w:t>TRIBUNAL DU TRAVAIL DE LIEGE</w:t>
      </w:r>
    </w:p>
    <w:p w:rsidR="005D0C33" w:rsidRPr="005D0C33" w:rsidRDefault="005D0C33" w:rsidP="005D0C33">
      <w:pPr>
        <w:rPr>
          <w:lang w:val="fr-FR"/>
        </w:rPr>
      </w:pPr>
    </w:p>
    <w:p w:rsidR="00CE2A1A" w:rsidRDefault="00CE2A1A" w:rsidP="00CE2A1A">
      <w:pPr>
        <w:pStyle w:val="Titre4"/>
        <w:tabs>
          <w:tab w:val="clear" w:pos="0"/>
          <w:tab w:val="left" w:pos="708"/>
        </w:tabs>
        <w:jc w:val="center"/>
        <w:rPr>
          <w:rFonts w:ascii="Palatino Linotype" w:hAnsi="Palatino Linotype" w:cstheme="minorHAnsi"/>
          <w:sz w:val="22"/>
          <w:szCs w:val="22"/>
          <w:u w:val="single"/>
        </w:rPr>
      </w:pPr>
      <w:r w:rsidRPr="005D0C33">
        <w:rPr>
          <w:rFonts w:ascii="Palatino Linotype" w:hAnsi="Palatino Linotype" w:cstheme="minorHAnsi"/>
          <w:sz w:val="22"/>
          <w:szCs w:val="22"/>
          <w:u w:val="single"/>
        </w:rPr>
        <w:t xml:space="preserve">ORDONNANCE </w:t>
      </w:r>
    </w:p>
    <w:p w:rsidR="005D0C33" w:rsidRPr="005D0C33" w:rsidRDefault="005D0C33" w:rsidP="005D0C33">
      <w:pPr>
        <w:rPr>
          <w:lang w:val="fr-FR"/>
        </w:rPr>
      </w:pPr>
    </w:p>
    <w:p w:rsidR="00CE2A1A" w:rsidRPr="005D0C33" w:rsidRDefault="00CE2A1A" w:rsidP="00CE2A1A">
      <w:pPr>
        <w:suppressAutoHyphens/>
        <w:jc w:val="both"/>
        <w:rPr>
          <w:rFonts w:ascii="Palatino Linotype" w:hAnsi="Palatino Linotype" w:cstheme="minorHAnsi"/>
          <w:b/>
          <w:bCs/>
          <w:spacing w:val="-3"/>
          <w:sz w:val="22"/>
          <w:szCs w:val="22"/>
          <w:u w:val="single"/>
          <w:lang w:val="fr-FR"/>
        </w:rPr>
      </w:pPr>
    </w:p>
    <w:p w:rsidR="00CE2A1A" w:rsidRPr="005D0C33" w:rsidRDefault="00CE2A1A" w:rsidP="00CE2A1A">
      <w:pPr>
        <w:suppressAutoHyphens/>
        <w:ind w:hanging="1440"/>
        <w:jc w:val="both"/>
        <w:rPr>
          <w:rFonts w:ascii="Palatino Linotype" w:hAnsi="Palatino Linotype" w:cstheme="minorHAnsi"/>
          <w:spacing w:val="-3"/>
          <w:sz w:val="22"/>
          <w:szCs w:val="22"/>
          <w:lang w:val="fr-FR"/>
        </w:rPr>
      </w:pPr>
      <w:r w:rsidRPr="005D0C33">
        <w:rPr>
          <w:rFonts w:ascii="Palatino Linotype" w:hAnsi="Palatino Linotype" w:cstheme="minorHAnsi"/>
          <w:spacing w:val="-2"/>
          <w:sz w:val="22"/>
          <w:szCs w:val="22"/>
          <w:lang w:val="fr-FR"/>
        </w:rPr>
        <w:t xml:space="preserve">  </w:t>
      </w:r>
      <w:r w:rsidR="005D0C33" w:rsidRPr="005D0C33">
        <w:rPr>
          <w:rFonts w:ascii="Palatino Linotype" w:hAnsi="Palatino Linotype" w:cstheme="minorHAnsi"/>
          <w:spacing w:val="-2"/>
          <w:sz w:val="22"/>
          <w:szCs w:val="22"/>
          <w:lang w:val="fr-FR"/>
        </w:rPr>
        <w:tab/>
      </w:r>
      <w:r w:rsidRPr="005D0C33">
        <w:rPr>
          <w:rFonts w:ascii="Palatino Linotype" w:hAnsi="Palatino Linotype" w:cstheme="minorHAnsi"/>
          <w:spacing w:val="-2"/>
          <w:sz w:val="22"/>
          <w:szCs w:val="22"/>
          <w:lang w:val="fr-FR"/>
        </w:rPr>
        <w:t>Répertoire</w:t>
      </w:r>
      <w:r w:rsidR="005D0C33" w:rsidRPr="005D0C33">
        <w:rPr>
          <w:rFonts w:ascii="Palatino Linotype" w:hAnsi="Palatino Linotype" w:cstheme="minorHAnsi"/>
          <w:spacing w:val="-3"/>
          <w:sz w:val="22"/>
          <w:szCs w:val="22"/>
          <w:lang w:val="fr-FR"/>
        </w:rPr>
        <w:t xml:space="preserve"> n° </w:t>
      </w:r>
    </w:p>
    <w:p w:rsidR="00CE2A1A" w:rsidRPr="005D0C33" w:rsidRDefault="00CE2A1A" w:rsidP="00CE2A1A">
      <w:pPr>
        <w:suppressAutoHyphens/>
        <w:jc w:val="both"/>
        <w:outlineLvl w:val="0"/>
        <w:rPr>
          <w:rFonts w:ascii="Palatino Linotype" w:hAnsi="Palatino Linotype" w:cstheme="minorHAnsi"/>
          <w:b/>
          <w:spacing w:val="-3"/>
          <w:sz w:val="22"/>
          <w:szCs w:val="22"/>
          <w:lang w:val="fr-FR"/>
        </w:rPr>
      </w:pPr>
    </w:p>
    <w:p w:rsidR="00CE2A1A" w:rsidRPr="005D0C33" w:rsidRDefault="00CE2A1A" w:rsidP="00CE2A1A">
      <w:pPr>
        <w:pStyle w:val="Retraitcorpsdetexte3"/>
        <w:tabs>
          <w:tab w:val="clear" w:pos="0"/>
        </w:tabs>
        <w:ind w:left="0" w:firstLine="0"/>
        <w:jc w:val="both"/>
        <w:outlineLvl w:val="9"/>
        <w:rPr>
          <w:rFonts w:ascii="Palatino Linotype" w:hAnsi="Palatino Linotype" w:cstheme="minorHAnsi"/>
          <w:sz w:val="22"/>
          <w:szCs w:val="22"/>
        </w:rPr>
      </w:pPr>
      <w:r w:rsidRPr="005D0C33">
        <w:rPr>
          <w:rFonts w:ascii="Palatino Linotype" w:hAnsi="Palatino Linotype" w:cstheme="minorHAnsi"/>
          <w:b/>
          <w:sz w:val="22"/>
          <w:szCs w:val="22"/>
        </w:rPr>
        <w:t>L’AGENCE FEDERALE POUR L’ACCUEIL DES DEMANDEURS D’ASILE (en abrégé FEDASIL)</w:t>
      </w:r>
      <w:r w:rsidRPr="005D0C33">
        <w:rPr>
          <w:rFonts w:ascii="Palatino Linotype" w:hAnsi="Palatino Linotype" w:cstheme="minorHAnsi"/>
          <w:sz w:val="22"/>
          <w:szCs w:val="22"/>
        </w:rPr>
        <w:t>, ayant ses bureaux à 1000 BRUXELLES, rue des Chartreux, 21,</w:t>
      </w:r>
    </w:p>
    <w:p w:rsidR="00CE2A1A" w:rsidRPr="005D0C33" w:rsidRDefault="00CE2A1A" w:rsidP="00CE2A1A">
      <w:pPr>
        <w:pStyle w:val="Retraitcorpsdetexte3"/>
        <w:tabs>
          <w:tab w:val="clear" w:pos="0"/>
        </w:tabs>
        <w:ind w:left="0" w:firstLine="0"/>
        <w:jc w:val="both"/>
        <w:outlineLvl w:val="9"/>
        <w:rPr>
          <w:rFonts w:ascii="Palatino Linotype" w:hAnsi="Palatino Linotype" w:cstheme="minorHAnsi"/>
          <w:sz w:val="22"/>
          <w:szCs w:val="22"/>
        </w:rPr>
      </w:pPr>
    </w:p>
    <w:p w:rsidR="008512AC" w:rsidRPr="00FE0144" w:rsidRDefault="00CE2A1A" w:rsidP="008512AC">
      <w:pPr>
        <w:pStyle w:val="Retraitcorpsdetexte3"/>
        <w:tabs>
          <w:tab w:val="clear" w:pos="0"/>
        </w:tabs>
        <w:ind w:left="0" w:firstLine="0"/>
        <w:jc w:val="both"/>
        <w:outlineLvl w:val="9"/>
        <w:rPr>
          <w:rFonts w:ascii="Palatino Linotype" w:hAnsi="Palatino Linotype" w:cstheme="minorHAnsi"/>
          <w:b/>
          <w:sz w:val="22"/>
          <w:szCs w:val="22"/>
        </w:rPr>
      </w:pPr>
      <w:r w:rsidRPr="005D0C33">
        <w:rPr>
          <w:rFonts w:ascii="Palatino Linotype" w:hAnsi="Palatino Linotype" w:cstheme="minorHAnsi"/>
          <w:sz w:val="22"/>
          <w:szCs w:val="22"/>
        </w:rPr>
        <w:t xml:space="preserve">Partie demanderesse sur tierce opposition ayant comparu </w:t>
      </w:r>
      <w:r w:rsidR="00CF20B0" w:rsidRPr="005D0C33">
        <w:rPr>
          <w:rFonts w:ascii="Palatino Linotype" w:hAnsi="Palatino Linotype" w:cstheme="minorHAnsi"/>
          <w:sz w:val="22"/>
          <w:szCs w:val="22"/>
        </w:rPr>
        <w:t xml:space="preserve">par </w:t>
      </w:r>
      <w:r w:rsidR="00F94FB1">
        <w:rPr>
          <w:rFonts w:ascii="Palatino Linotype" w:hAnsi="Palatino Linotype" w:cstheme="minorHAnsi"/>
          <w:sz w:val="22"/>
          <w:szCs w:val="22"/>
        </w:rPr>
        <w:t xml:space="preserve">Maître </w:t>
      </w:r>
      <w:r w:rsidR="00F65952">
        <w:rPr>
          <w:rFonts w:ascii="Palatino Linotype" w:hAnsi="Palatino Linotype" w:cstheme="minorHAnsi"/>
          <w:b/>
          <w:sz w:val="22"/>
          <w:szCs w:val="22"/>
        </w:rPr>
        <w:t>François DECLERCQ</w:t>
      </w:r>
      <w:r w:rsidR="00F94FB1">
        <w:rPr>
          <w:rFonts w:ascii="Palatino Linotype" w:hAnsi="Palatino Linotype" w:cstheme="minorHAnsi"/>
          <w:b/>
          <w:sz w:val="22"/>
          <w:szCs w:val="22"/>
        </w:rPr>
        <w:t>,</w:t>
      </w:r>
      <w:r w:rsidR="005D0C33">
        <w:rPr>
          <w:rFonts w:ascii="Palatino Linotype" w:hAnsi="Palatino Linotype" w:cstheme="minorHAnsi"/>
          <w:sz w:val="22"/>
          <w:szCs w:val="22"/>
        </w:rPr>
        <w:t xml:space="preserve"> </w:t>
      </w:r>
      <w:r w:rsidR="008512AC">
        <w:rPr>
          <w:rFonts w:ascii="Palatino Linotype" w:hAnsi="Palatino Linotype" w:cstheme="minorHAnsi"/>
          <w:sz w:val="22"/>
          <w:szCs w:val="22"/>
        </w:rPr>
        <w:t>A</w:t>
      </w:r>
      <w:r w:rsidR="00F65952">
        <w:rPr>
          <w:rFonts w:ascii="Palatino Linotype" w:hAnsi="Palatino Linotype" w:cstheme="minorHAnsi"/>
          <w:sz w:val="22"/>
          <w:szCs w:val="22"/>
        </w:rPr>
        <w:t>vocat,</w:t>
      </w:r>
      <w:r w:rsidR="008512AC">
        <w:rPr>
          <w:rFonts w:ascii="Palatino Linotype" w:hAnsi="Palatino Linotype" w:cstheme="minorHAnsi"/>
          <w:sz w:val="22"/>
          <w:szCs w:val="22"/>
        </w:rPr>
        <w:t xml:space="preserve"> substituant Maître </w:t>
      </w:r>
      <w:r w:rsidR="008512AC">
        <w:rPr>
          <w:rFonts w:ascii="Palatino Linotype" w:hAnsi="Palatino Linotype" w:cstheme="minorHAnsi"/>
          <w:b/>
          <w:sz w:val="22"/>
          <w:szCs w:val="22"/>
        </w:rPr>
        <w:t>Alain DETHEUX</w:t>
      </w:r>
      <w:r w:rsidR="008512AC">
        <w:rPr>
          <w:rFonts w:ascii="Palatino Linotype" w:hAnsi="Palatino Linotype" w:cstheme="minorHAnsi"/>
          <w:sz w:val="22"/>
          <w:szCs w:val="22"/>
        </w:rPr>
        <w:t>, Avocat au barreau de Bruxelles.</w:t>
      </w:r>
    </w:p>
    <w:p w:rsidR="00CE2A1A" w:rsidRPr="008512AC" w:rsidRDefault="00CE2A1A" w:rsidP="00CE2A1A">
      <w:pPr>
        <w:pStyle w:val="Retraitcorpsdetexte3"/>
        <w:tabs>
          <w:tab w:val="clear" w:pos="0"/>
        </w:tabs>
        <w:ind w:left="0" w:firstLine="0"/>
        <w:jc w:val="both"/>
        <w:outlineLvl w:val="9"/>
        <w:rPr>
          <w:rFonts w:ascii="Palatino Linotype" w:hAnsi="Palatino Linotype" w:cstheme="minorHAnsi"/>
          <w:b/>
          <w:sz w:val="22"/>
          <w:szCs w:val="22"/>
        </w:rPr>
      </w:pPr>
    </w:p>
    <w:p w:rsidR="00CE2A1A" w:rsidRPr="005D0C33" w:rsidRDefault="00CE2A1A" w:rsidP="00CE2A1A">
      <w:pPr>
        <w:pStyle w:val="Retraitcorpsdetexte3"/>
        <w:tabs>
          <w:tab w:val="clear" w:pos="0"/>
        </w:tabs>
        <w:ind w:left="0" w:firstLine="0"/>
        <w:jc w:val="center"/>
        <w:outlineLvl w:val="9"/>
        <w:rPr>
          <w:rFonts w:ascii="Palatino Linotype" w:hAnsi="Palatino Linotype" w:cstheme="minorHAnsi"/>
          <w:b/>
          <w:sz w:val="22"/>
          <w:szCs w:val="22"/>
          <w:u w:val="single"/>
        </w:rPr>
      </w:pPr>
      <w:r w:rsidRPr="005D0C33">
        <w:rPr>
          <w:rFonts w:ascii="Palatino Linotype" w:hAnsi="Palatino Linotype" w:cstheme="minorHAnsi"/>
          <w:b/>
          <w:sz w:val="22"/>
          <w:szCs w:val="22"/>
          <w:u w:val="single"/>
        </w:rPr>
        <w:t>CONTRE :</w:t>
      </w:r>
    </w:p>
    <w:p w:rsidR="00CE2A1A" w:rsidRPr="005D0C33" w:rsidRDefault="00CE2A1A" w:rsidP="00CE2A1A">
      <w:pPr>
        <w:pStyle w:val="Retraitcorpsdetexte3"/>
        <w:tabs>
          <w:tab w:val="clear" w:pos="0"/>
        </w:tabs>
        <w:ind w:left="0" w:firstLine="0"/>
        <w:jc w:val="center"/>
        <w:outlineLvl w:val="9"/>
        <w:rPr>
          <w:rFonts w:ascii="Palatino Linotype" w:hAnsi="Palatino Linotype" w:cstheme="minorHAnsi"/>
          <w:sz w:val="22"/>
          <w:szCs w:val="22"/>
        </w:rPr>
      </w:pPr>
    </w:p>
    <w:p w:rsidR="00C03A12" w:rsidRPr="000842CF" w:rsidRDefault="00C03A12" w:rsidP="00C03A12">
      <w:pPr>
        <w:pStyle w:val="Retraitcorpsdetexte3"/>
        <w:tabs>
          <w:tab w:val="clear" w:pos="0"/>
        </w:tabs>
        <w:ind w:left="0" w:firstLine="0"/>
        <w:jc w:val="both"/>
        <w:outlineLvl w:val="9"/>
        <w:rPr>
          <w:rFonts w:ascii="Palatino Linotype" w:hAnsi="Palatino Linotype" w:cs="Calibri"/>
          <w:sz w:val="22"/>
          <w:szCs w:val="22"/>
        </w:rPr>
      </w:pPr>
      <w:r w:rsidRPr="00086585">
        <w:rPr>
          <w:rFonts w:ascii="Palatino Linotype" w:hAnsi="Palatino Linotype" w:cs="Calibri"/>
          <w:sz w:val="22"/>
          <w:szCs w:val="22"/>
          <w:lang w:val="fr-BE"/>
        </w:rPr>
        <w:t>Monsieur</w:t>
      </w:r>
      <w:r w:rsidRPr="00086585">
        <w:rPr>
          <w:rFonts w:ascii="Palatino Linotype" w:hAnsi="Palatino Linotype" w:cs="Calibri"/>
          <w:b/>
          <w:sz w:val="22"/>
          <w:szCs w:val="22"/>
          <w:lang w:val="fr-BE"/>
        </w:rPr>
        <w:t xml:space="preserve"> </w:t>
      </w:r>
      <w:r w:rsidR="00347B26">
        <w:rPr>
          <w:rFonts w:ascii="Palatino Linotype" w:hAnsi="Palatino Linotype" w:cs="Calibri"/>
          <w:b/>
          <w:sz w:val="22"/>
          <w:szCs w:val="22"/>
          <w:lang w:val="fr-BE"/>
        </w:rPr>
        <w:t>N</w:t>
      </w:r>
      <w:r>
        <w:rPr>
          <w:rFonts w:ascii="Palatino Linotype" w:hAnsi="Palatino Linotype" w:cs="Calibri"/>
          <w:sz w:val="22"/>
          <w:szCs w:val="22"/>
          <w:lang w:val="fr-BE"/>
        </w:rPr>
        <w:t xml:space="preserve">, SP </w:t>
      </w:r>
      <w:r w:rsidR="00347B26">
        <w:rPr>
          <w:rFonts w:ascii="Palatino Linotype" w:hAnsi="Palatino Linotype" w:cs="Calibri"/>
          <w:sz w:val="22"/>
          <w:szCs w:val="22"/>
          <w:lang w:val="fr-BE"/>
        </w:rPr>
        <w:t>…..</w:t>
      </w:r>
      <w:r w:rsidR="00632459">
        <w:rPr>
          <w:rFonts w:ascii="Palatino Linotype" w:hAnsi="Palatino Linotype" w:cs="Calibri"/>
          <w:sz w:val="22"/>
          <w:szCs w:val="22"/>
          <w:lang w:val="fr-BE"/>
        </w:rPr>
        <w:t xml:space="preserve">, né le </w:t>
      </w:r>
      <w:r w:rsidR="00347B26">
        <w:rPr>
          <w:rFonts w:ascii="Palatino Linotype" w:hAnsi="Palatino Linotype" w:cs="Calibri"/>
          <w:sz w:val="22"/>
          <w:szCs w:val="22"/>
          <w:lang w:val="fr-BE"/>
        </w:rPr>
        <w:t>…….</w:t>
      </w:r>
      <w:r w:rsidR="00632459">
        <w:rPr>
          <w:rFonts w:ascii="Palatino Linotype" w:hAnsi="Palatino Linotype" w:cs="Calibri"/>
          <w:sz w:val="22"/>
          <w:szCs w:val="22"/>
          <w:lang w:val="fr-BE"/>
        </w:rPr>
        <w:t>/1997</w:t>
      </w:r>
      <w:r>
        <w:rPr>
          <w:rFonts w:ascii="Palatino Linotype" w:hAnsi="Palatino Linotype" w:cs="Calibri"/>
          <w:sz w:val="22"/>
          <w:szCs w:val="22"/>
          <w:lang w:val="fr-BE"/>
        </w:rPr>
        <w:t xml:space="preserve"> à </w:t>
      </w:r>
      <w:proofErr w:type="spellStart"/>
      <w:r w:rsidR="00632459">
        <w:rPr>
          <w:rFonts w:ascii="Palatino Linotype" w:hAnsi="Palatino Linotype" w:cs="Calibri"/>
          <w:sz w:val="22"/>
          <w:szCs w:val="22"/>
          <w:lang w:val="fr-BE"/>
        </w:rPr>
        <w:t>Haml</w:t>
      </w:r>
      <w:proofErr w:type="spellEnd"/>
      <w:r w:rsidR="00632459">
        <w:rPr>
          <w:rFonts w:ascii="Palatino Linotype" w:hAnsi="Palatino Linotype" w:cs="Calibri"/>
          <w:sz w:val="22"/>
          <w:szCs w:val="22"/>
          <w:lang w:val="fr-BE"/>
        </w:rPr>
        <w:t xml:space="preserve"> Malo</w:t>
      </w:r>
      <w:r>
        <w:rPr>
          <w:rFonts w:ascii="Palatino Linotype" w:hAnsi="Palatino Linotype" w:cs="Calibri"/>
          <w:sz w:val="22"/>
          <w:szCs w:val="22"/>
          <w:lang w:val="fr-BE"/>
        </w:rPr>
        <w:t xml:space="preserve">, de nationalité </w:t>
      </w:r>
      <w:r w:rsidR="00632459">
        <w:rPr>
          <w:rFonts w:ascii="Palatino Linotype" w:hAnsi="Palatino Linotype" w:cs="Calibri"/>
          <w:sz w:val="22"/>
          <w:szCs w:val="22"/>
          <w:lang w:val="fr-BE"/>
        </w:rPr>
        <w:t>érythréenne</w:t>
      </w:r>
      <w:r>
        <w:rPr>
          <w:rFonts w:ascii="Palatino Linotype" w:hAnsi="Palatino Linotype" w:cs="Calibri"/>
          <w:sz w:val="22"/>
          <w:szCs w:val="22"/>
          <w:lang w:val="fr-BE"/>
        </w:rPr>
        <w:t xml:space="preserve">, résidant actuellement au centre </w:t>
      </w:r>
      <w:r w:rsidR="00632459">
        <w:rPr>
          <w:rFonts w:ascii="Palatino Linotype" w:hAnsi="Palatino Linotype" w:cs="Calibri"/>
          <w:sz w:val="22"/>
          <w:szCs w:val="22"/>
          <w:lang w:val="fr-BE"/>
        </w:rPr>
        <w:t>« L’Envol »</w:t>
      </w:r>
      <w:r>
        <w:rPr>
          <w:rFonts w:ascii="Palatino Linotype" w:hAnsi="Palatino Linotype" w:cs="Calibri"/>
          <w:sz w:val="22"/>
          <w:szCs w:val="22"/>
          <w:lang w:val="fr-BE"/>
        </w:rPr>
        <w:t xml:space="preserve">, rue de </w:t>
      </w:r>
      <w:proofErr w:type="spellStart"/>
      <w:r w:rsidR="00632459">
        <w:rPr>
          <w:rFonts w:ascii="Palatino Linotype" w:hAnsi="Palatino Linotype" w:cs="Calibri"/>
          <w:sz w:val="22"/>
          <w:szCs w:val="22"/>
          <w:lang w:val="fr-BE"/>
        </w:rPr>
        <w:t>Velroux</w:t>
      </w:r>
      <w:proofErr w:type="spellEnd"/>
      <w:r w:rsidR="00632459">
        <w:rPr>
          <w:rFonts w:ascii="Palatino Linotype" w:hAnsi="Palatino Linotype" w:cs="Calibri"/>
          <w:sz w:val="22"/>
          <w:szCs w:val="22"/>
          <w:lang w:val="fr-BE"/>
        </w:rPr>
        <w:t xml:space="preserve"> 140</w:t>
      </w:r>
      <w:r>
        <w:rPr>
          <w:rFonts w:ascii="Palatino Linotype" w:hAnsi="Palatino Linotype" w:cs="Calibri"/>
          <w:sz w:val="22"/>
          <w:szCs w:val="22"/>
          <w:lang w:val="fr-BE"/>
        </w:rPr>
        <w:t xml:space="preserve"> à 4</w:t>
      </w:r>
      <w:r w:rsidR="00632459">
        <w:rPr>
          <w:rFonts w:ascii="Palatino Linotype" w:hAnsi="Palatino Linotype" w:cs="Calibri"/>
          <w:sz w:val="22"/>
          <w:szCs w:val="22"/>
          <w:lang w:val="fr-BE"/>
        </w:rPr>
        <w:t>460 GRACE-HOLLOGNE</w:t>
      </w:r>
      <w:r w:rsidRPr="00086585">
        <w:rPr>
          <w:rFonts w:ascii="Palatino Linotype" w:hAnsi="Palatino Linotype" w:cs="Calibri"/>
          <w:sz w:val="22"/>
          <w:szCs w:val="22"/>
          <w:lang w:val="fr-BE"/>
        </w:rPr>
        <w:t xml:space="preserve">, </w:t>
      </w:r>
      <w:r w:rsidRPr="000842CF">
        <w:rPr>
          <w:rFonts w:ascii="Palatino Linotype" w:hAnsi="Palatino Linotype" w:cs="Calibri"/>
          <w:sz w:val="22"/>
          <w:szCs w:val="22"/>
        </w:rPr>
        <w:t xml:space="preserve">faisant élection de domicile au cabinet de son conseil Maître </w:t>
      </w:r>
      <w:r w:rsidR="00632459">
        <w:rPr>
          <w:rFonts w:ascii="Palatino Linotype" w:hAnsi="Palatino Linotype" w:cs="Calibri"/>
          <w:b/>
          <w:sz w:val="22"/>
          <w:szCs w:val="22"/>
        </w:rPr>
        <w:t>Eric MASSIN</w:t>
      </w:r>
      <w:r>
        <w:rPr>
          <w:rFonts w:ascii="Palatino Linotype" w:hAnsi="Palatino Linotype" w:cs="Calibri"/>
          <w:sz w:val="22"/>
          <w:szCs w:val="22"/>
        </w:rPr>
        <w:t>, Avocat</w:t>
      </w:r>
      <w:r w:rsidRPr="000842CF">
        <w:rPr>
          <w:rFonts w:ascii="Palatino Linotype" w:hAnsi="Palatino Linotype" w:cs="Calibri"/>
          <w:sz w:val="22"/>
          <w:szCs w:val="22"/>
        </w:rPr>
        <w:t xml:space="preserve"> à </w:t>
      </w:r>
      <w:r w:rsidR="00632459">
        <w:rPr>
          <w:rFonts w:ascii="Palatino Linotype" w:hAnsi="Palatino Linotype" w:cs="Calibri"/>
          <w:sz w:val="22"/>
          <w:szCs w:val="22"/>
        </w:rPr>
        <w:t>1030 BRUXELLES</w:t>
      </w:r>
      <w:r>
        <w:rPr>
          <w:rFonts w:ascii="Palatino Linotype" w:hAnsi="Palatino Linotype" w:cs="Calibri"/>
          <w:sz w:val="22"/>
          <w:szCs w:val="22"/>
        </w:rPr>
        <w:t xml:space="preserve">, </w:t>
      </w:r>
      <w:r w:rsidR="00632459">
        <w:rPr>
          <w:rFonts w:ascii="Palatino Linotype" w:hAnsi="Palatino Linotype" w:cs="Calibri"/>
          <w:sz w:val="22"/>
          <w:szCs w:val="22"/>
        </w:rPr>
        <w:t xml:space="preserve">Square Eugène </w:t>
      </w:r>
      <w:proofErr w:type="spellStart"/>
      <w:r w:rsidR="00632459">
        <w:rPr>
          <w:rFonts w:ascii="Palatino Linotype" w:hAnsi="Palatino Linotype" w:cs="Calibri"/>
          <w:sz w:val="22"/>
          <w:szCs w:val="22"/>
        </w:rPr>
        <w:t>Plasky</w:t>
      </w:r>
      <w:proofErr w:type="spellEnd"/>
      <w:r w:rsidR="00632459">
        <w:rPr>
          <w:rFonts w:ascii="Palatino Linotype" w:hAnsi="Palatino Linotype" w:cs="Calibri"/>
          <w:sz w:val="22"/>
          <w:szCs w:val="22"/>
        </w:rPr>
        <w:t xml:space="preserve"> 92-94/2</w:t>
      </w:r>
      <w:r w:rsidRPr="000842CF">
        <w:rPr>
          <w:rFonts w:ascii="Palatino Linotype" w:hAnsi="Palatino Linotype" w:cs="Calibri"/>
          <w:sz w:val="22"/>
          <w:szCs w:val="22"/>
        </w:rPr>
        <w:t>.</w:t>
      </w:r>
    </w:p>
    <w:p w:rsidR="00593985" w:rsidRPr="005D0C33" w:rsidRDefault="00593985" w:rsidP="00CE2A1A">
      <w:pPr>
        <w:pStyle w:val="Retraitcorpsdetexte3"/>
        <w:tabs>
          <w:tab w:val="clear" w:pos="0"/>
        </w:tabs>
        <w:ind w:left="0" w:firstLine="0"/>
        <w:jc w:val="both"/>
        <w:outlineLvl w:val="9"/>
        <w:rPr>
          <w:rFonts w:ascii="Palatino Linotype" w:hAnsi="Palatino Linotype" w:cstheme="minorHAnsi"/>
          <w:sz w:val="22"/>
          <w:szCs w:val="22"/>
        </w:rPr>
      </w:pPr>
    </w:p>
    <w:p w:rsidR="00CE2A1A" w:rsidRPr="005D0C33" w:rsidRDefault="00CE2A1A" w:rsidP="00CE2A1A">
      <w:pPr>
        <w:pStyle w:val="Retraitcorpsdetexte3"/>
        <w:tabs>
          <w:tab w:val="clear" w:pos="0"/>
        </w:tabs>
        <w:ind w:left="0" w:firstLine="0"/>
        <w:jc w:val="both"/>
        <w:outlineLvl w:val="9"/>
        <w:rPr>
          <w:rFonts w:ascii="Palatino Linotype" w:hAnsi="Palatino Linotype" w:cstheme="minorHAnsi"/>
          <w:sz w:val="22"/>
          <w:szCs w:val="22"/>
        </w:rPr>
      </w:pPr>
      <w:r w:rsidRPr="005D0C33">
        <w:rPr>
          <w:rFonts w:ascii="Palatino Linotype" w:hAnsi="Palatino Linotype" w:cstheme="minorHAnsi"/>
          <w:sz w:val="22"/>
          <w:szCs w:val="22"/>
        </w:rPr>
        <w:t xml:space="preserve">Partie défenderesse sur tierce opposition ayant comparu par </w:t>
      </w:r>
      <w:r w:rsidR="00593985" w:rsidRPr="005D0C33">
        <w:rPr>
          <w:rFonts w:ascii="Palatino Linotype" w:hAnsi="Palatino Linotype" w:cstheme="minorHAnsi"/>
          <w:sz w:val="22"/>
          <w:szCs w:val="22"/>
        </w:rPr>
        <w:t xml:space="preserve">Maître </w:t>
      </w:r>
      <w:r w:rsidR="00632459">
        <w:rPr>
          <w:rFonts w:ascii="Palatino Linotype" w:hAnsi="Palatino Linotype" w:cs="Calibri"/>
          <w:b/>
          <w:sz w:val="22"/>
          <w:szCs w:val="22"/>
        </w:rPr>
        <w:t>Justine HUBERT</w:t>
      </w:r>
      <w:r w:rsidR="00C03A12">
        <w:rPr>
          <w:rFonts w:ascii="Palatino Linotype" w:hAnsi="Palatino Linotype" w:cs="Calibri"/>
          <w:b/>
          <w:sz w:val="22"/>
          <w:szCs w:val="22"/>
        </w:rPr>
        <w:t> ;</w:t>
      </w:r>
      <w:r w:rsidR="00C03A12" w:rsidRPr="005D0C33">
        <w:rPr>
          <w:rFonts w:ascii="Palatino Linotype" w:hAnsi="Palatino Linotype" w:cstheme="minorHAnsi"/>
          <w:sz w:val="22"/>
          <w:szCs w:val="22"/>
        </w:rPr>
        <w:t xml:space="preserve"> </w:t>
      </w:r>
      <w:r w:rsidR="00632459">
        <w:rPr>
          <w:rFonts w:ascii="Palatino Linotype" w:hAnsi="Palatino Linotype" w:cstheme="minorHAnsi"/>
          <w:sz w:val="22"/>
          <w:szCs w:val="22"/>
        </w:rPr>
        <w:t>A</w:t>
      </w:r>
      <w:r w:rsidR="00593985" w:rsidRPr="005D0C33">
        <w:rPr>
          <w:rFonts w:ascii="Palatino Linotype" w:hAnsi="Palatino Linotype" w:cstheme="minorHAnsi"/>
          <w:sz w:val="22"/>
          <w:szCs w:val="22"/>
        </w:rPr>
        <w:t>vocat</w:t>
      </w:r>
      <w:r w:rsidR="00F15508">
        <w:rPr>
          <w:rFonts w:ascii="Palatino Linotype" w:hAnsi="Palatino Linotype" w:cstheme="minorHAnsi"/>
          <w:sz w:val="22"/>
          <w:szCs w:val="22"/>
        </w:rPr>
        <w:t xml:space="preserve"> à LIEGE</w:t>
      </w:r>
      <w:r w:rsidR="00593985" w:rsidRPr="005D0C33">
        <w:rPr>
          <w:rFonts w:ascii="Palatino Linotype" w:hAnsi="Palatino Linotype" w:cstheme="minorHAnsi"/>
          <w:sz w:val="22"/>
          <w:szCs w:val="22"/>
        </w:rPr>
        <w:t>.</w:t>
      </w:r>
    </w:p>
    <w:p w:rsidR="001720E4" w:rsidRDefault="001720E4" w:rsidP="00CE2A1A">
      <w:pPr>
        <w:pStyle w:val="Retraitcorpsdetexte3"/>
        <w:tabs>
          <w:tab w:val="clear" w:pos="0"/>
        </w:tabs>
        <w:ind w:left="0" w:firstLine="0"/>
        <w:jc w:val="both"/>
        <w:outlineLvl w:val="9"/>
        <w:rPr>
          <w:rFonts w:ascii="Palatino Linotype" w:hAnsi="Palatino Linotype" w:cstheme="minorHAnsi"/>
          <w:sz w:val="22"/>
          <w:szCs w:val="22"/>
        </w:rPr>
      </w:pPr>
    </w:p>
    <w:p w:rsidR="00393CE1" w:rsidRPr="00393CE1" w:rsidRDefault="00393CE1" w:rsidP="00393CE1">
      <w:pPr>
        <w:pStyle w:val="Retraitcorpsdetexte3"/>
        <w:tabs>
          <w:tab w:val="clear" w:pos="0"/>
        </w:tabs>
        <w:ind w:left="0" w:firstLine="0"/>
        <w:jc w:val="center"/>
        <w:outlineLvl w:val="9"/>
        <w:rPr>
          <w:rFonts w:ascii="Palatino Linotype" w:hAnsi="Palatino Linotype" w:cstheme="minorHAnsi"/>
          <w:b/>
          <w:sz w:val="22"/>
          <w:szCs w:val="22"/>
          <w:u w:val="single"/>
        </w:rPr>
      </w:pPr>
      <w:r w:rsidRPr="00393CE1">
        <w:rPr>
          <w:rFonts w:ascii="Palatino Linotype" w:hAnsi="Palatino Linotype" w:cstheme="minorHAnsi"/>
          <w:b/>
          <w:sz w:val="22"/>
          <w:szCs w:val="22"/>
          <w:u w:val="single"/>
        </w:rPr>
        <w:t>INTERVENTION VOLONTAIRE :</w:t>
      </w:r>
    </w:p>
    <w:p w:rsidR="00393CE1" w:rsidRDefault="00393CE1" w:rsidP="00CE2A1A">
      <w:pPr>
        <w:pStyle w:val="Retraitcorpsdetexte3"/>
        <w:tabs>
          <w:tab w:val="clear" w:pos="0"/>
        </w:tabs>
        <w:ind w:left="0" w:firstLine="0"/>
        <w:jc w:val="both"/>
        <w:outlineLvl w:val="9"/>
        <w:rPr>
          <w:rFonts w:ascii="Palatino Linotype" w:hAnsi="Palatino Linotype" w:cstheme="minorHAnsi"/>
          <w:sz w:val="22"/>
          <w:szCs w:val="22"/>
        </w:rPr>
      </w:pPr>
    </w:p>
    <w:p w:rsidR="00EE6C67" w:rsidRPr="00EE6C67" w:rsidRDefault="00EE6C67" w:rsidP="00EE6C67">
      <w:pPr>
        <w:pStyle w:val="Retraitcorpsdetexte3"/>
        <w:tabs>
          <w:tab w:val="clear" w:pos="0"/>
        </w:tabs>
        <w:ind w:left="0" w:firstLine="0"/>
        <w:jc w:val="both"/>
        <w:outlineLvl w:val="9"/>
        <w:rPr>
          <w:rFonts w:ascii="Palatino Linotype" w:hAnsi="Palatino Linotype" w:cstheme="minorHAnsi"/>
          <w:sz w:val="22"/>
          <w:szCs w:val="22"/>
        </w:rPr>
      </w:pPr>
      <w:r w:rsidRPr="00EE6C67">
        <w:rPr>
          <w:rFonts w:ascii="Palatino Linotype" w:hAnsi="Palatino Linotype" w:cstheme="minorHAnsi"/>
          <w:b/>
          <w:sz w:val="22"/>
          <w:szCs w:val="22"/>
        </w:rPr>
        <w:t xml:space="preserve">L'ETAT BELGE - SPF INTERIEUR, </w:t>
      </w:r>
      <w:r>
        <w:rPr>
          <w:rFonts w:ascii="Palatino Linotype" w:hAnsi="Palatino Linotype" w:cstheme="minorHAnsi"/>
          <w:b/>
          <w:sz w:val="22"/>
          <w:szCs w:val="22"/>
        </w:rPr>
        <w:t xml:space="preserve">en la personne de son Ministre, </w:t>
      </w:r>
      <w:r>
        <w:rPr>
          <w:rFonts w:ascii="Palatino Linotype" w:hAnsi="Palatino Linotype" w:cstheme="minorHAnsi"/>
          <w:sz w:val="22"/>
          <w:szCs w:val="22"/>
        </w:rPr>
        <w:t xml:space="preserve">ayant ses bureaux à 1000 BRUXELLES, rue </w:t>
      </w:r>
      <w:proofErr w:type="spellStart"/>
      <w:r>
        <w:rPr>
          <w:rFonts w:ascii="Palatino Linotype" w:hAnsi="Palatino Linotype" w:cstheme="minorHAnsi"/>
          <w:sz w:val="22"/>
          <w:szCs w:val="22"/>
        </w:rPr>
        <w:t>Lambermont</w:t>
      </w:r>
      <w:proofErr w:type="spellEnd"/>
      <w:r>
        <w:rPr>
          <w:rFonts w:ascii="Palatino Linotype" w:hAnsi="Palatino Linotype" w:cstheme="minorHAnsi"/>
          <w:sz w:val="22"/>
          <w:szCs w:val="22"/>
        </w:rPr>
        <w:t xml:space="preserve"> 2,</w:t>
      </w:r>
    </w:p>
    <w:p w:rsidR="00EE6C67" w:rsidRPr="00EE6C67" w:rsidRDefault="00EE6C67" w:rsidP="00EE6C67">
      <w:pPr>
        <w:pStyle w:val="Retraitcorpsdetexte3"/>
        <w:tabs>
          <w:tab w:val="clear" w:pos="0"/>
        </w:tabs>
        <w:ind w:left="0" w:firstLine="0"/>
        <w:jc w:val="both"/>
        <w:outlineLvl w:val="9"/>
        <w:rPr>
          <w:rFonts w:ascii="Palatino Linotype" w:hAnsi="Palatino Linotype" w:cstheme="minorHAnsi"/>
          <w:b/>
          <w:sz w:val="22"/>
          <w:szCs w:val="22"/>
        </w:rPr>
      </w:pPr>
      <w:r w:rsidRPr="00EE6C67">
        <w:rPr>
          <w:rFonts w:ascii="Palatino Linotype" w:hAnsi="Palatino Linotype" w:cstheme="minorHAnsi"/>
          <w:b/>
          <w:sz w:val="22"/>
          <w:szCs w:val="22"/>
        </w:rPr>
        <w:t xml:space="preserve"> </w:t>
      </w:r>
    </w:p>
    <w:p w:rsidR="00EE6C67" w:rsidRPr="00EE6C67" w:rsidRDefault="00EE6C67" w:rsidP="00EE6C67">
      <w:pPr>
        <w:pStyle w:val="Retraitcorpsdetexte3"/>
        <w:tabs>
          <w:tab w:val="clear" w:pos="0"/>
        </w:tabs>
        <w:ind w:left="0" w:firstLine="0"/>
        <w:jc w:val="both"/>
        <w:outlineLvl w:val="9"/>
        <w:rPr>
          <w:rFonts w:ascii="Palatino Linotype" w:hAnsi="Palatino Linotype" w:cstheme="minorHAnsi"/>
          <w:b/>
          <w:sz w:val="22"/>
          <w:szCs w:val="22"/>
        </w:rPr>
      </w:pPr>
      <w:r w:rsidRPr="00EE6C67">
        <w:rPr>
          <w:rFonts w:ascii="Palatino Linotype" w:hAnsi="Palatino Linotype" w:cstheme="minorHAnsi"/>
          <w:b/>
          <w:sz w:val="22"/>
          <w:szCs w:val="22"/>
        </w:rPr>
        <w:t xml:space="preserve"> </w:t>
      </w:r>
    </w:p>
    <w:p w:rsidR="00EE6C67" w:rsidRPr="00EE6C67" w:rsidRDefault="00EE6C67" w:rsidP="00EE6C67">
      <w:pPr>
        <w:pStyle w:val="Retraitcorpsdetexte3"/>
        <w:tabs>
          <w:tab w:val="clear" w:pos="0"/>
        </w:tabs>
        <w:ind w:left="0" w:firstLine="0"/>
        <w:jc w:val="both"/>
        <w:outlineLvl w:val="9"/>
        <w:rPr>
          <w:rFonts w:ascii="Palatino Linotype" w:hAnsi="Palatino Linotype" w:cstheme="minorHAnsi"/>
          <w:sz w:val="22"/>
          <w:szCs w:val="22"/>
        </w:rPr>
      </w:pPr>
      <w:bookmarkStart w:id="0" w:name="demavoc"/>
      <w:r>
        <w:rPr>
          <w:rFonts w:ascii="Palatino Linotype" w:hAnsi="Palatino Linotype" w:cstheme="minorHAnsi"/>
          <w:sz w:val="22"/>
          <w:szCs w:val="22"/>
        </w:rPr>
        <w:t>Partie intervenante volontaire ayant comparu par son</w:t>
      </w:r>
      <w:r w:rsidRPr="00EE6C67">
        <w:rPr>
          <w:rFonts w:ascii="Palatino Linotype" w:hAnsi="Palatino Linotype" w:cstheme="minorHAnsi"/>
          <w:sz w:val="22"/>
          <w:szCs w:val="22"/>
        </w:rPr>
        <w:t xml:space="preserve"> Maître </w:t>
      </w:r>
      <w:r w:rsidRPr="00EE6C67">
        <w:rPr>
          <w:rFonts w:ascii="Palatino Linotype" w:hAnsi="Palatino Linotype" w:cstheme="minorHAnsi"/>
          <w:b/>
          <w:sz w:val="22"/>
          <w:szCs w:val="22"/>
        </w:rPr>
        <w:t>Cathy PIRONT</w:t>
      </w:r>
      <w:r w:rsidRPr="00EE6C67">
        <w:rPr>
          <w:rFonts w:ascii="Palatino Linotype" w:hAnsi="Palatino Linotype" w:cstheme="minorHAnsi"/>
          <w:sz w:val="22"/>
          <w:szCs w:val="22"/>
        </w:rPr>
        <w:t xml:space="preserve">, </w:t>
      </w:r>
      <w:r>
        <w:rPr>
          <w:rFonts w:ascii="Palatino Linotype" w:hAnsi="Palatino Linotype" w:cstheme="minorHAnsi"/>
          <w:sz w:val="22"/>
          <w:szCs w:val="22"/>
        </w:rPr>
        <w:t>A</w:t>
      </w:r>
      <w:r w:rsidRPr="00EE6C67">
        <w:rPr>
          <w:rFonts w:ascii="Palatino Linotype" w:hAnsi="Palatino Linotype" w:cstheme="minorHAnsi"/>
          <w:sz w:val="22"/>
          <w:szCs w:val="22"/>
        </w:rPr>
        <w:t xml:space="preserve">vocat, à 4020  LIEGE 2, rue des </w:t>
      </w:r>
      <w:proofErr w:type="spellStart"/>
      <w:r w:rsidRPr="00EE6C67">
        <w:rPr>
          <w:rFonts w:ascii="Palatino Linotype" w:hAnsi="Palatino Linotype" w:cstheme="minorHAnsi"/>
          <w:sz w:val="22"/>
          <w:szCs w:val="22"/>
        </w:rPr>
        <w:t>Fories</w:t>
      </w:r>
      <w:proofErr w:type="spellEnd"/>
      <w:r w:rsidRPr="00EE6C67">
        <w:rPr>
          <w:rFonts w:ascii="Palatino Linotype" w:hAnsi="Palatino Linotype" w:cstheme="minorHAnsi"/>
          <w:sz w:val="22"/>
          <w:szCs w:val="22"/>
        </w:rPr>
        <w:t xml:space="preserve">, 2, </w:t>
      </w:r>
      <w:bookmarkEnd w:id="0"/>
    </w:p>
    <w:p w:rsidR="00393CE1" w:rsidRPr="00EE6C67" w:rsidRDefault="00393CE1" w:rsidP="00CE2A1A">
      <w:pPr>
        <w:pStyle w:val="Retraitcorpsdetexte3"/>
        <w:tabs>
          <w:tab w:val="clear" w:pos="0"/>
        </w:tabs>
        <w:ind w:left="0" w:firstLine="0"/>
        <w:jc w:val="both"/>
        <w:outlineLvl w:val="9"/>
        <w:rPr>
          <w:rFonts w:ascii="Palatino Linotype" w:hAnsi="Palatino Linotype" w:cstheme="minorHAnsi"/>
          <w:sz w:val="22"/>
          <w:szCs w:val="22"/>
          <w:lang w:val="fr-BE"/>
        </w:rPr>
      </w:pPr>
    </w:p>
    <w:p w:rsidR="00CE2A1A" w:rsidRPr="005D0C33" w:rsidRDefault="00CE2A1A" w:rsidP="00CE2A1A">
      <w:pPr>
        <w:pStyle w:val="Retraitcorpsdetexte3"/>
        <w:tabs>
          <w:tab w:val="clear" w:pos="0"/>
        </w:tabs>
        <w:ind w:left="0" w:firstLine="0"/>
        <w:jc w:val="center"/>
        <w:outlineLvl w:val="9"/>
        <w:rPr>
          <w:rFonts w:ascii="Palatino Linotype" w:hAnsi="Palatino Linotype" w:cstheme="minorHAnsi"/>
          <w:b/>
          <w:bCs/>
          <w:sz w:val="22"/>
          <w:szCs w:val="22"/>
          <w:lang w:val="fr-BE"/>
        </w:rPr>
      </w:pPr>
      <w:r w:rsidRPr="005D0C33">
        <w:rPr>
          <w:rFonts w:ascii="Palatino Linotype" w:hAnsi="Palatino Linotype" w:cstheme="minorHAnsi"/>
          <w:b/>
          <w:bCs/>
          <w:sz w:val="22"/>
          <w:szCs w:val="22"/>
          <w:lang w:val="fr-BE"/>
        </w:rPr>
        <w:t>***************</w:t>
      </w:r>
    </w:p>
    <w:p w:rsidR="001720E4" w:rsidRPr="005D0C33" w:rsidRDefault="001720E4" w:rsidP="00CE2A1A">
      <w:pPr>
        <w:pStyle w:val="Retraitcorpsdetexte3"/>
        <w:tabs>
          <w:tab w:val="clear" w:pos="0"/>
        </w:tabs>
        <w:ind w:left="0" w:firstLine="0"/>
        <w:jc w:val="both"/>
        <w:outlineLvl w:val="9"/>
        <w:rPr>
          <w:rFonts w:ascii="Palatino Linotype" w:hAnsi="Palatino Linotype" w:cstheme="minorHAnsi"/>
          <w:b/>
          <w:bCs/>
          <w:sz w:val="22"/>
          <w:szCs w:val="22"/>
          <w:u w:val="single"/>
          <w:lang w:val="fr-BE"/>
        </w:rPr>
      </w:pPr>
    </w:p>
    <w:p w:rsidR="00096E94" w:rsidRPr="005D0C33" w:rsidRDefault="00096E94" w:rsidP="00096E94">
      <w:pPr>
        <w:jc w:val="both"/>
        <w:rPr>
          <w:rFonts w:ascii="Palatino Linotype" w:hAnsi="Palatino Linotype" w:cs="Calibri"/>
          <w:sz w:val="22"/>
          <w:szCs w:val="22"/>
          <w:lang w:val="fr-BE"/>
        </w:rPr>
      </w:pPr>
      <w:r w:rsidRPr="005D0C33">
        <w:rPr>
          <w:rFonts w:ascii="Palatino Linotype" w:hAnsi="Palatino Linotype" w:cs="Calibri"/>
          <w:sz w:val="22"/>
          <w:szCs w:val="22"/>
          <w:lang w:val="fr-BE"/>
        </w:rPr>
        <w:t>Vu la loi du 15 juin 1935 sur l’emploi des langues en matière judiciaire ;</w:t>
      </w:r>
    </w:p>
    <w:p w:rsidR="00CE2A1A" w:rsidRPr="005D0C33" w:rsidRDefault="00CE2A1A" w:rsidP="00CE2A1A">
      <w:pPr>
        <w:pStyle w:val="Retraitcorpsdetexte3"/>
        <w:tabs>
          <w:tab w:val="clear" w:pos="0"/>
        </w:tabs>
        <w:ind w:left="0" w:firstLine="0"/>
        <w:jc w:val="both"/>
        <w:outlineLvl w:val="9"/>
        <w:rPr>
          <w:rFonts w:ascii="Palatino Linotype" w:hAnsi="Palatino Linotype" w:cstheme="minorHAnsi"/>
          <w:b/>
          <w:bCs/>
          <w:sz w:val="22"/>
          <w:szCs w:val="22"/>
          <w:u w:val="single"/>
          <w:lang w:val="fr-BE"/>
        </w:rPr>
      </w:pPr>
    </w:p>
    <w:p w:rsidR="00CE2A1A" w:rsidRPr="005D0C33" w:rsidRDefault="00CE2A1A" w:rsidP="00CE2A1A">
      <w:pPr>
        <w:pStyle w:val="Retraitcorpsdetexte3"/>
        <w:tabs>
          <w:tab w:val="clear" w:pos="0"/>
        </w:tabs>
        <w:ind w:left="0" w:firstLine="0"/>
        <w:jc w:val="both"/>
        <w:outlineLvl w:val="9"/>
        <w:rPr>
          <w:rFonts w:ascii="Palatino Linotype" w:hAnsi="Palatino Linotype" w:cstheme="minorHAnsi"/>
          <w:color w:val="FF0000"/>
          <w:sz w:val="22"/>
          <w:szCs w:val="22"/>
          <w:lang w:val="fr-BE"/>
        </w:rPr>
      </w:pPr>
      <w:r w:rsidRPr="005D0C33">
        <w:rPr>
          <w:rFonts w:ascii="Palatino Linotype" w:hAnsi="Palatino Linotype" w:cstheme="minorHAnsi"/>
          <w:sz w:val="22"/>
          <w:szCs w:val="22"/>
          <w:lang w:val="fr-BE"/>
        </w:rPr>
        <w:t xml:space="preserve">Vu la citation sous forme de tierce opposition du </w:t>
      </w:r>
      <w:r w:rsidR="00632459">
        <w:rPr>
          <w:rFonts w:ascii="Palatino Linotype" w:hAnsi="Palatino Linotype" w:cstheme="minorHAnsi"/>
          <w:sz w:val="22"/>
          <w:szCs w:val="22"/>
          <w:lang w:val="fr-BE"/>
        </w:rPr>
        <w:t>08/03</w:t>
      </w:r>
      <w:r w:rsidR="00C03A12">
        <w:rPr>
          <w:rFonts w:ascii="Palatino Linotype" w:hAnsi="Palatino Linotype" w:cstheme="minorHAnsi"/>
          <w:sz w:val="22"/>
          <w:szCs w:val="22"/>
          <w:lang w:val="fr-BE"/>
        </w:rPr>
        <w:t>/2021</w:t>
      </w:r>
      <w:r w:rsidRPr="005D0C33">
        <w:rPr>
          <w:rFonts w:ascii="Palatino Linotype" w:hAnsi="Palatino Linotype" w:cstheme="minorHAnsi"/>
          <w:sz w:val="22"/>
          <w:szCs w:val="22"/>
          <w:lang w:val="fr-BE"/>
        </w:rPr>
        <w:t xml:space="preserve"> de l’huissier de justice</w:t>
      </w:r>
      <w:r w:rsidR="00FE4AB1" w:rsidRPr="005D0C33">
        <w:rPr>
          <w:rFonts w:ascii="Palatino Linotype" w:hAnsi="Palatino Linotype" w:cstheme="minorHAnsi"/>
          <w:sz w:val="22"/>
          <w:szCs w:val="22"/>
          <w:lang w:val="fr-BE"/>
        </w:rPr>
        <w:t xml:space="preserve"> </w:t>
      </w:r>
      <w:r w:rsidR="00C03A12">
        <w:rPr>
          <w:rFonts w:ascii="Palatino Linotype" w:hAnsi="Palatino Linotype" w:cstheme="minorHAnsi"/>
          <w:sz w:val="22"/>
          <w:szCs w:val="22"/>
          <w:lang w:val="fr-BE"/>
        </w:rPr>
        <w:t>Johan VANHECKE</w:t>
      </w:r>
      <w:r w:rsidRPr="005D0C33">
        <w:rPr>
          <w:rFonts w:ascii="Palatino Linotype" w:hAnsi="Palatino Linotype" w:cstheme="minorHAnsi"/>
          <w:sz w:val="22"/>
          <w:szCs w:val="22"/>
          <w:lang w:val="fr-BE"/>
        </w:rPr>
        <w:t xml:space="preserve">, de résidence à </w:t>
      </w:r>
      <w:r w:rsidR="00C03A12">
        <w:rPr>
          <w:rFonts w:ascii="Palatino Linotype" w:hAnsi="Palatino Linotype" w:cstheme="minorHAnsi"/>
          <w:sz w:val="22"/>
          <w:szCs w:val="22"/>
          <w:lang w:val="fr-BE"/>
        </w:rPr>
        <w:t xml:space="preserve">1000 BRUXELLES, Chaussée de La </w:t>
      </w:r>
      <w:proofErr w:type="spellStart"/>
      <w:r w:rsidR="00C03A12">
        <w:rPr>
          <w:rFonts w:ascii="Palatino Linotype" w:hAnsi="Palatino Linotype" w:cstheme="minorHAnsi"/>
          <w:sz w:val="22"/>
          <w:szCs w:val="22"/>
          <w:lang w:val="fr-BE"/>
        </w:rPr>
        <w:t>Hulpe</w:t>
      </w:r>
      <w:proofErr w:type="spellEnd"/>
      <w:r w:rsidR="00C03A12">
        <w:rPr>
          <w:rFonts w:ascii="Palatino Linotype" w:hAnsi="Palatino Linotype" w:cstheme="minorHAnsi"/>
          <w:sz w:val="22"/>
          <w:szCs w:val="22"/>
          <w:lang w:val="fr-BE"/>
        </w:rPr>
        <w:t xml:space="preserve"> 110</w:t>
      </w:r>
      <w:r w:rsidR="008D3993">
        <w:rPr>
          <w:rFonts w:ascii="Palatino Linotype" w:hAnsi="Palatino Linotype" w:cstheme="minorHAnsi"/>
          <w:sz w:val="22"/>
          <w:szCs w:val="22"/>
          <w:lang w:val="fr-BE"/>
        </w:rPr>
        <w:t> ;</w:t>
      </w:r>
    </w:p>
    <w:p w:rsidR="00CE2A1A" w:rsidRPr="005D0C33" w:rsidRDefault="00CE2A1A" w:rsidP="00CE2A1A">
      <w:pPr>
        <w:pStyle w:val="Retraitcorpsdetexte3"/>
        <w:tabs>
          <w:tab w:val="clear" w:pos="0"/>
        </w:tabs>
        <w:ind w:left="0" w:firstLine="0"/>
        <w:jc w:val="both"/>
        <w:outlineLvl w:val="9"/>
        <w:rPr>
          <w:rFonts w:ascii="Palatino Linotype" w:hAnsi="Palatino Linotype" w:cstheme="minorHAnsi"/>
          <w:sz w:val="22"/>
          <w:szCs w:val="22"/>
          <w:lang w:val="fr-BE"/>
        </w:rPr>
      </w:pPr>
    </w:p>
    <w:p w:rsidR="00CE2A1A" w:rsidRPr="005D0C33" w:rsidRDefault="008D3993" w:rsidP="00CE2A1A">
      <w:pPr>
        <w:pStyle w:val="Retraitcorpsdetexte3"/>
        <w:tabs>
          <w:tab w:val="clear" w:pos="0"/>
        </w:tabs>
        <w:ind w:left="0" w:firstLine="0"/>
        <w:jc w:val="both"/>
        <w:outlineLvl w:val="9"/>
        <w:rPr>
          <w:rFonts w:ascii="Palatino Linotype" w:hAnsi="Palatino Linotype" w:cstheme="minorHAnsi"/>
          <w:sz w:val="22"/>
          <w:szCs w:val="22"/>
          <w:lang w:val="fr-BE"/>
        </w:rPr>
      </w:pPr>
      <w:r>
        <w:rPr>
          <w:rFonts w:ascii="Palatino Linotype" w:hAnsi="Palatino Linotype" w:cstheme="minorHAnsi"/>
          <w:sz w:val="22"/>
          <w:szCs w:val="22"/>
          <w:lang w:val="fr-BE"/>
        </w:rPr>
        <w:t>Vu la réouverture des débats ordonnée dans l’ordonnance du 17/03/2022 ;</w:t>
      </w:r>
    </w:p>
    <w:p w:rsidR="00F65952" w:rsidRDefault="00F65952">
      <w:pPr>
        <w:rPr>
          <w:rFonts w:ascii="Palatino Linotype" w:hAnsi="Palatino Linotype" w:cstheme="minorHAnsi"/>
          <w:b/>
          <w:bCs/>
          <w:sz w:val="22"/>
          <w:szCs w:val="22"/>
          <w:u w:val="single"/>
          <w:lang w:val="fr-BE"/>
        </w:rPr>
      </w:pPr>
      <w:r>
        <w:rPr>
          <w:rFonts w:ascii="Palatino Linotype" w:hAnsi="Palatino Linotype" w:cstheme="minorHAnsi"/>
          <w:b/>
          <w:bCs/>
          <w:sz w:val="22"/>
          <w:szCs w:val="22"/>
          <w:u w:val="single"/>
          <w:lang w:val="fr-BE"/>
        </w:rPr>
        <w:br w:type="page"/>
      </w:r>
    </w:p>
    <w:p w:rsidR="008D3993" w:rsidRDefault="008D3993">
      <w:pPr>
        <w:pStyle w:val="Retraitcorpsdetexte3"/>
        <w:tabs>
          <w:tab w:val="clear" w:pos="0"/>
          <w:tab w:val="clear" w:pos="720"/>
          <w:tab w:val="clear" w:pos="1440"/>
          <w:tab w:val="clear" w:pos="2160"/>
        </w:tabs>
        <w:ind w:left="0" w:firstLine="0"/>
        <w:jc w:val="both"/>
        <w:outlineLvl w:val="9"/>
        <w:rPr>
          <w:rFonts w:ascii="Palatino Linotype" w:hAnsi="Palatino Linotype" w:cstheme="minorHAnsi"/>
          <w:b/>
          <w:bCs/>
          <w:sz w:val="22"/>
          <w:szCs w:val="22"/>
          <w:u w:val="single"/>
          <w:lang w:val="fr-BE"/>
        </w:rPr>
      </w:pPr>
    </w:p>
    <w:p w:rsidR="00632459" w:rsidRPr="00632459" w:rsidRDefault="00632459" w:rsidP="00632459">
      <w:pPr>
        <w:pStyle w:val="Retraitcorpsdetexte3"/>
        <w:tabs>
          <w:tab w:val="clear" w:pos="0"/>
          <w:tab w:val="clear" w:pos="720"/>
          <w:tab w:val="clear" w:pos="1440"/>
          <w:tab w:val="clear" w:pos="2160"/>
        </w:tabs>
        <w:ind w:left="0" w:firstLine="0"/>
        <w:jc w:val="both"/>
        <w:outlineLvl w:val="9"/>
        <w:rPr>
          <w:rFonts w:ascii="Palatino Linotype" w:hAnsi="Palatino Linotype" w:cstheme="minorHAnsi"/>
          <w:b/>
          <w:bCs/>
          <w:sz w:val="22"/>
          <w:szCs w:val="22"/>
          <w:u w:val="single"/>
          <w:lang w:val="fr-BE"/>
        </w:rPr>
      </w:pPr>
      <w:r w:rsidRPr="00632459">
        <w:rPr>
          <w:rFonts w:ascii="Palatino Linotype" w:hAnsi="Palatino Linotype" w:cstheme="minorHAnsi"/>
          <w:b/>
          <w:bCs/>
          <w:sz w:val="22"/>
          <w:szCs w:val="22"/>
          <w:u w:val="single"/>
          <w:lang w:val="fr-BE"/>
        </w:rPr>
        <w:t>Objet de la demande :</w:t>
      </w:r>
    </w:p>
    <w:p w:rsidR="00632459" w:rsidRPr="00632459" w:rsidRDefault="00632459" w:rsidP="00632459">
      <w:pPr>
        <w:jc w:val="both"/>
        <w:rPr>
          <w:rFonts w:ascii="Palatino Linotype" w:hAnsi="Palatino Linotype" w:cstheme="minorHAnsi"/>
          <w:sz w:val="22"/>
          <w:szCs w:val="22"/>
          <w:lang w:val="fr-BE"/>
        </w:rPr>
      </w:pPr>
    </w:p>
    <w:p w:rsidR="008D3993" w:rsidRPr="008D3993" w:rsidRDefault="008D3993" w:rsidP="008D3993">
      <w:pPr>
        <w:jc w:val="both"/>
        <w:rPr>
          <w:rFonts w:ascii="Palatino Linotype" w:hAnsi="Palatino Linotype" w:cstheme="minorHAnsi"/>
          <w:sz w:val="22"/>
          <w:szCs w:val="22"/>
          <w:lang w:val="fr-BE"/>
        </w:rPr>
      </w:pPr>
      <w:r w:rsidRPr="008D3993">
        <w:rPr>
          <w:rFonts w:ascii="Palatino Linotype" w:hAnsi="Palatino Linotype" w:cstheme="minorHAnsi"/>
          <w:sz w:val="22"/>
          <w:szCs w:val="22"/>
          <w:lang w:val="fr-BE"/>
        </w:rPr>
        <w:t>Par citation en tierce-opposition signifiée le 08.03.2022, FEDASIL remet en cause u</w:t>
      </w:r>
      <w:r>
        <w:rPr>
          <w:rFonts w:ascii="Palatino Linotype" w:hAnsi="Palatino Linotype" w:cstheme="minorHAnsi"/>
          <w:sz w:val="22"/>
          <w:szCs w:val="22"/>
          <w:lang w:val="fr-BE"/>
        </w:rPr>
        <w:t>ne ordonnance prononcée par le T</w:t>
      </w:r>
      <w:r w:rsidRPr="008D3993">
        <w:rPr>
          <w:rFonts w:ascii="Palatino Linotype" w:hAnsi="Palatino Linotype" w:cstheme="minorHAnsi"/>
          <w:sz w:val="22"/>
          <w:szCs w:val="22"/>
          <w:lang w:val="fr-BE"/>
        </w:rPr>
        <w:t xml:space="preserve">ribunal en date du 21.01.2022, qui suspend les effets d’une décision de FEDASIL du 18.01.2022, en ordonnant au demandeur sur tierce-opposition de maintenir l’hébergement du demandeur originaire au centre d’accueil de 4460 Grâce-Hollogne, rue de </w:t>
      </w:r>
      <w:proofErr w:type="spellStart"/>
      <w:r w:rsidRPr="008D3993">
        <w:rPr>
          <w:rFonts w:ascii="Palatino Linotype" w:hAnsi="Palatino Linotype" w:cstheme="minorHAnsi"/>
          <w:sz w:val="22"/>
          <w:szCs w:val="22"/>
          <w:lang w:val="fr-BE"/>
        </w:rPr>
        <w:t>Verloux</w:t>
      </w:r>
      <w:proofErr w:type="spellEnd"/>
      <w:r w:rsidRPr="008D3993">
        <w:rPr>
          <w:rFonts w:ascii="Palatino Linotype" w:hAnsi="Palatino Linotype" w:cstheme="minorHAnsi"/>
          <w:sz w:val="22"/>
          <w:szCs w:val="22"/>
          <w:lang w:val="fr-BE"/>
        </w:rPr>
        <w:t xml:space="preserve"> 140, dans la région Liégeoise, sous peine d’astreinte.</w:t>
      </w:r>
    </w:p>
    <w:p w:rsidR="00632459" w:rsidRPr="008D3993" w:rsidRDefault="00632459">
      <w:pPr>
        <w:pStyle w:val="Retraitcorpsdetexte3"/>
        <w:tabs>
          <w:tab w:val="clear" w:pos="0"/>
          <w:tab w:val="clear" w:pos="720"/>
          <w:tab w:val="clear" w:pos="1440"/>
          <w:tab w:val="clear" w:pos="2160"/>
        </w:tabs>
        <w:ind w:left="0" w:firstLine="0"/>
        <w:jc w:val="both"/>
        <w:outlineLvl w:val="9"/>
        <w:rPr>
          <w:rFonts w:ascii="Palatino Linotype" w:hAnsi="Palatino Linotype" w:cstheme="minorHAnsi"/>
          <w:sz w:val="22"/>
          <w:szCs w:val="22"/>
          <w:lang w:val="fr-BE"/>
        </w:rPr>
      </w:pPr>
    </w:p>
    <w:p w:rsidR="00016168" w:rsidRPr="005D0C33" w:rsidRDefault="00016168">
      <w:pPr>
        <w:pStyle w:val="Retraitcorpsdetexte3"/>
        <w:tabs>
          <w:tab w:val="clear" w:pos="0"/>
          <w:tab w:val="clear" w:pos="720"/>
          <w:tab w:val="clear" w:pos="1440"/>
          <w:tab w:val="clear" w:pos="2160"/>
        </w:tabs>
        <w:ind w:left="0" w:firstLine="0"/>
        <w:jc w:val="both"/>
        <w:outlineLvl w:val="9"/>
        <w:rPr>
          <w:rFonts w:ascii="Palatino Linotype" w:hAnsi="Palatino Linotype" w:cstheme="minorHAnsi"/>
          <w:b/>
          <w:bCs/>
          <w:sz w:val="22"/>
          <w:szCs w:val="22"/>
          <w:u w:val="single"/>
          <w:lang w:val="fr-BE"/>
        </w:rPr>
      </w:pPr>
      <w:r w:rsidRPr="005D0C33">
        <w:rPr>
          <w:rFonts w:ascii="Palatino Linotype" w:hAnsi="Palatino Linotype" w:cstheme="minorHAnsi"/>
          <w:b/>
          <w:bCs/>
          <w:sz w:val="22"/>
          <w:szCs w:val="22"/>
          <w:u w:val="single"/>
          <w:lang w:val="fr-BE"/>
        </w:rPr>
        <w:t xml:space="preserve">Les faits </w:t>
      </w:r>
    </w:p>
    <w:p w:rsidR="00016168" w:rsidRPr="005D0C33" w:rsidRDefault="00016168">
      <w:pPr>
        <w:tabs>
          <w:tab w:val="left" w:pos="-720"/>
        </w:tabs>
        <w:suppressAutoHyphens/>
        <w:spacing w:line="240" w:lineRule="atLeast"/>
        <w:jc w:val="both"/>
        <w:rPr>
          <w:rFonts w:ascii="Palatino Linotype" w:hAnsi="Palatino Linotype" w:cstheme="minorHAnsi"/>
          <w:sz w:val="22"/>
          <w:szCs w:val="22"/>
          <w:lang w:val="fr-FR"/>
        </w:rPr>
      </w:pPr>
    </w:p>
    <w:p w:rsidR="00B55C05" w:rsidRDefault="00B55C05" w:rsidP="00B55C05">
      <w:pPr>
        <w:jc w:val="both"/>
        <w:rPr>
          <w:rFonts w:ascii="Palatino Linotype" w:hAnsi="Palatino Linotype" w:cstheme="minorHAnsi"/>
          <w:sz w:val="22"/>
          <w:szCs w:val="22"/>
          <w:lang w:val="fr-BE"/>
        </w:rPr>
      </w:pPr>
      <w:r w:rsidRPr="00B55C05">
        <w:rPr>
          <w:rFonts w:ascii="Palatino Linotype" w:hAnsi="Palatino Linotype" w:cstheme="minorHAnsi"/>
          <w:sz w:val="22"/>
          <w:szCs w:val="22"/>
          <w:lang w:val="fr-BE"/>
        </w:rPr>
        <w:t>Le requérant originaire est d'origine érythréenne. Il est né le 1</w:t>
      </w:r>
      <w:r w:rsidRPr="00B55C05">
        <w:rPr>
          <w:rFonts w:ascii="Palatino Linotype" w:hAnsi="Palatino Linotype" w:cstheme="minorHAnsi"/>
          <w:sz w:val="22"/>
          <w:szCs w:val="22"/>
          <w:vertAlign w:val="superscript"/>
          <w:lang w:val="fr-BE"/>
        </w:rPr>
        <w:t>er</w:t>
      </w:r>
      <w:r w:rsidRPr="00B55C05">
        <w:rPr>
          <w:rFonts w:ascii="Palatino Linotype" w:hAnsi="Palatino Linotype" w:cstheme="minorHAnsi"/>
          <w:sz w:val="22"/>
          <w:szCs w:val="22"/>
          <w:lang w:val="fr-BE"/>
        </w:rPr>
        <w:t xml:space="preserve"> janvier 1997 et réside actuellement au Centre «L'Envol », rue de</w:t>
      </w:r>
      <w:r>
        <w:rPr>
          <w:rFonts w:ascii="Palatino Linotype" w:hAnsi="Palatino Linotype" w:cstheme="minorHAnsi"/>
          <w:sz w:val="22"/>
          <w:szCs w:val="22"/>
          <w:lang w:val="fr-BE"/>
        </w:rPr>
        <w:t xml:space="preserve"> </w:t>
      </w:r>
      <w:proofErr w:type="spellStart"/>
      <w:r>
        <w:rPr>
          <w:rFonts w:ascii="Palatino Linotype" w:hAnsi="Palatino Linotype" w:cstheme="minorHAnsi"/>
          <w:sz w:val="22"/>
          <w:szCs w:val="22"/>
          <w:lang w:val="fr-BE"/>
        </w:rPr>
        <w:t>Velroux</w:t>
      </w:r>
      <w:proofErr w:type="spellEnd"/>
      <w:r>
        <w:rPr>
          <w:rFonts w:ascii="Palatino Linotype" w:hAnsi="Palatino Linotype" w:cstheme="minorHAnsi"/>
          <w:sz w:val="22"/>
          <w:szCs w:val="22"/>
          <w:lang w:val="fr-BE"/>
        </w:rPr>
        <w:t xml:space="preserve"> </w:t>
      </w:r>
      <w:r w:rsidRPr="00B55C05">
        <w:rPr>
          <w:rFonts w:ascii="Palatino Linotype" w:hAnsi="Palatino Linotype" w:cstheme="minorHAnsi"/>
          <w:sz w:val="22"/>
          <w:szCs w:val="22"/>
          <w:lang w:val="fr-BE"/>
        </w:rPr>
        <w:t>140 à 4460</w:t>
      </w:r>
      <w:r>
        <w:rPr>
          <w:rFonts w:ascii="Palatino Linotype" w:hAnsi="Palatino Linotype" w:cstheme="minorHAnsi"/>
          <w:sz w:val="22"/>
          <w:szCs w:val="22"/>
          <w:lang w:val="fr-BE"/>
        </w:rPr>
        <w:t xml:space="preserve"> GRACE-HOLLOGNE</w:t>
      </w:r>
      <w:r w:rsidRPr="00B55C05">
        <w:rPr>
          <w:rFonts w:ascii="Palatino Linotype" w:hAnsi="Palatino Linotype" w:cstheme="minorHAnsi"/>
          <w:sz w:val="22"/>
          <w:szCs w:val="22"/>
          <w:lang w:val="fr-BE"/>
        </w:rPr>
        <w:t>;</w:t>
      </w:r>
    </w:p>
    <w:p w:rsidR="00B55C05" w:rsidRDefault="00B55C05" w:rsidP="00B55C05">
      <w:pPr>
        <w:jc w:val="both"/>
        <w:rPr>
          <w:rFonts w:ascii="Palatino Linotype" w:hAnsi="Palatino Linotype" w:cstheme="minorHAnsi"/>
          <w:sz w:val="22"/>
          <w:szCs w:val="22"/>
          <w:lang w:val="fr-BE"/>
        </w:rPr>
      </w:pPr>
    </w:p>
    <w:p w:rsidR="00B55C05" w:rsidRDefault="00B55C05" w:rsidP="00B55C05">
      <w:pPr>
        <w:jc w:val="both"/>
        <w:rPr>
          <w:rFonts w:ascii="Palatino Linotype" w:hAnsi="Palatino Linotype" w:cstheme="minorHAnsi"/>
          <w:sz w:val="22"/>
          <w:szCs w:val="22"/>
          <w:lang w:val="fr-BE"/>
        </w:rPr>
      </w:pPr>
      <w:r w:rsidRPr="00B55C05">
        <w:rPr>
          <w:rFonts w:ascii="Palatino Linotype" w:hAnsi="Palatino Linotype" w:cstheme="minorHAnsi"/>
          <w:sz w:val="22"/>
          <w:szCs w:val="22"/>
          <w:lang w:val="fr-BE"/>
        </w:rPr>
        <w:t>Il est arrivé en Belgique en septembre 2021. Une demande de protection internationale a été introduite sur le territoire belge le 1</w:t>
      </w:r>
      <w:r w:rsidRPr="00B55C05">
        <w:rPr>
          <w:rFonts w:ascii="Palatino Linotype" w:hAnsi="Palatino Linotype" w:cstheme="minorHAnsi"/>
          <w:sz w:val="22"/>
          <w:szCs w:val="22"/>
          <w:vertAlign w:val="superscript"/>
          <w:lang w:val="fr-BE"/>
        </w:rPr>
        <w:t>er</w:t>
      </w:r>
      <w:r w:rsidRPr="00B55C05">
        <w:rPr>
          <w:rFonts w:ascii="Palatino Linotype" w:hAnsi="Palatino Linotype" w:cstheme="minorHAnsi"/>
          <w:sz w:val="22"/>
          <w:szCs w:val="22"/>
          <w:lang w:val="fr-BE"/>
        </w:rPr>
        <w:t xml:space="preserve"> octobre 2021;</w:t>
      </w:r>
    </w:p>
    <w:p w:rsidR="00B55C05" w:rsidRPr="00B55C05" w:rsidRDefault="00B55C05" w:rsidP="00B55C05">
      <w:pPr>
        <w:jc w:val="both"/>
        <w:rPr>
          <w:rFonts w:ascii="Palatino Linotype" w:hAnsi="Palatino Linotype" w:cstheme="minorHAnsi"/>
          <w:sz w:val="22"/>
          <w:szCs w:val="22"/>
          <w:lang w:val="fr-BE"/>
        </w:rPr>
      </w:pPr>
    </w:p>
    <w:p w:rsidR="00B55C05" w:rsidRDefault="00B55C05" w:rsidP="00B55C05">
      <w:pPr>
        <w:jc w:val="both"/>
        <w:textAlignment w:val="baseline"/>
        <w:rPr>
          <w:rFonts w:ascii="Palatino Linotype" w:hAnsi="Palatino Linotype" w:cstheme="minorHAnsi"/>
          <w:sz w:val="22"/>
          <w:szCs w:val="22"/>
          <w:lang w:val="fr-BE"/>
        </w:rPr>
      </w:pPr>
      <w:r w:rsidRPr="00B55C05">
        <w:rPr>
          <w:rFonts w:ascii="Palatino Linotype" w:hAnsi="Palatino Linotype" w:cstheme="minorHAnsi"/>
          <w:sz w:val="22"/>
          <w:szCs w:val="22"/>
          <w:lang w:val="fr-BE"/>
        </w:rPr>
        <w:t>Le 15 décembre 2021, l'Office des étrangers a notifié une décision de refus de séjour avec ordre de quitter le territoire. Il estime que l'Italie est le pays compétent pour traiter la</w:t>
      </w:r>
      <w:r>
        <w:rPr>
          <w:rFonts w:ascii="Palatino Linotype" w:hAnsi="Palatino Linotype" w:cstheme="minorHAnsi"/>
          <w:sz w:val="22"/>
          <w:szCs w:val="22"/>
          <w:lang w:val="fr-BE"/>
        </w:rPr>
        <w:t xml:space="preserve"> demande (l</w:t>
      </w:r>
      <w:r w:rsidRPr="00B55C05">
        <w:rPr>
          <w:rFonts w:ascii="Palatino Linotype" w:hAnsi="Palatino Linotype" w:cstheme="minorHAnsi"/>
          <w:sz w:val="22"/>
          <w:szCs w:val="22"/>
          <w:lang w:val="fr-BE"/>
        </w:rPr>
        <w:t>’Italie semble avoir accepter la reprise de la demande de protecti</w:t>
      </w:r>
      <w:r w:rsidR="00F65952">
        <w:rPr>
          <w:rFonts w:ascii="Palatino Linotype" w:hAnsi="Palatino Linotype" w:cstheme="minorHAnsi"/>
          <w:sz w:val="22"/>
          <w:szCs w:val="22"/>
          <w:lang w:val="fr-BE"/>
        </w:rPr>
        <w:t>on internationale en date du 12/11/</w:t>
      </w:r>
      <w:r w:rsidRPr="00B55C05">
        <w:rPr>
          <w:rFonts w:ascii="Palatino Linotype" w:hAnsi="Palatino Linotype" w:cstheme="minorHAnsi"/>
          <w:sz w:val="22"/>
          <w:szCs w:val="22"/>
          <w:lang w:val="fr-BE"/>
        </w:rPr>
        <w:t>2021).</w:t>
      </w:r>
    </w:p>
    <w:p w:rsidR="00B55C05" w:rsidRPr="00B55C05" w:rsidRDefault="00B55C05" w:rsidP="00B55C05">
      <w:pPr>
        <w:jc w:val="both"/>
        <w:textAlignment w:val="baseline"/>
        <w:rPr>
          <w:rFonts w:ascii="Palatino Linotype" w:hAnsi="Palatino Linotype" w:cstheme="minorHAnsi"/>
          <w:sz w:val="22"/>
          <w:szCs w:val="22"/>
          <w:lang w:val="fr-BE"/>
        </w:rPr>
      </w:pPr>
    </w:p>
    <w:p w:rsidR="00B55C05" w:rsidRDefault="00B55C05" w:rsidP="00B55C05">
      <w:pPr>
        <w:jc w:val="both"/>
        <w:textAlignment w:val="baseline"/>
        <w:rPr>
          <w:rFonts w:ascii="Palatino Linotype" w:hAnsi="Palatino Linotype" w:cstheme="minorHAnsi"/>
          <w:sz w:val="22"/>
          <w:szCs w:val="22"/>
          <w:lang w:val="fr-BE"/>
        </w:rPr>
      </w:pPr>
      <w:r w:rsidRPr="00B55C05">
        <w:rPr>
          <w:rFonts w:ascii="Palatino Linotype" w:hAnsi="Palatino Linotype" w:cstheme="minorHAnsi"/>
          <w:sz w:val="22"/>
          <w:szCs w:val="22"/>
          <w:lang w:val="fr-BE"/>
        </w:rPr>
        <w:t>Un recours a été introduit à l'encontre de l’OQT devant le Conseil du contentieux des étrangers.</w:t>
      </w:r>
    </w:p>
    <w:p w:rsidR="00B55C05" w:rsidRPr="00B55C05" w:rsidRDefault="00B55C05" w:rsidP="00B55C05">
      <w:pPr>
        <w:jc w:val="both"/>
        <w:textAlignment w:val="baseline"/>
        <w:rPr>
          <w:rFonts w:ascii="Palatino Linotype" w:hAnsi="Palatino Linotype" w:cstheme="minorHAnsi"/>
          <w:sz w:val="22"/>
          <w:szCs w:val="22"/>
          <w:lang w:val="fr-BE"/>
        </w:rPr>
      </w:pPr>
    </w:p>
    <w:p w:rsidR="00B55C05" w:rsidRPr="00B55C05" w:rsidRDefault="00B55C05" w:rsidP="00B55C05">
      <w:pPr>
        <w:jc w:val="both"/>
        <w:textAlignment w:val="baseline"/>
        <w:rPr>
          <w:rFonts w:ascii="Palatino Linotype" w:hAnsi="Palatino Linotype" w:cstheme="minorHAnsi"/>
          <w:sz w:val="22"/>
          <w:szCs w:val="22"/>
          <w:lang w:val="fr-BE"/>
        </w:rPr>
      </w:pPr>
      <w:r w:rsidRPr="00B55C05">
        <w:rPr>
          <w:rFonts w:ascii="Palatino Linotype" w:hAnsi="Palatino Linotype" w:cstheme="minorHAnsi"/>
          <w:sz w:val="22"/>
          <w:szCs w:val="22"/>
          <w:lang w:val="fr-BE"/>
        </w:rPr>
        <w:t xml:space="preserve">En date du 18 janvier 2022, FEDASIL a notifié une décision de modification de lieu obligatoire d'inscription : </w:t>
      </w:r>
    </w:p>
    <w:p w:rsidR="00B55C05" w:rsidRPr="00E45C22" w:rsidRDefault="00B55C05" w:rsidP="00B55C05">
      <w:pPr>
        <w:spacing w:before="309"/>
        <w:ind w:left="289"/>
        <w:jc w:val="both"/>
        <w:textAlignment w:val="baseline"/>
        <w:rPr>
          <w:rFonts w:ascii="Palatino Linotype" w:eastAsia="Garamond" w:hAnsi="Palatino Linotype"/>
          <w:i/>
          <w:color w:val="000000"/>
          <w:spacing w:val="13"/>
          <w:sz w:val="22"/>
          <w:szCs w:val="22"/>
          <w:lang w:val="fr-BE"/>
        </w:rPr>
      </w:pPr>
      <w:r w:rsidRPr="00E45C22">
        <w:rPr>
          <w:rFonts w:ascii="Palatino Linotype" w:eastAsia="Garamond" w:hAnsi="Palatino Linotype"/>
          <w:i/>
          <w:color w:val="000000"/>
          <w:spacing w:val="13"/>
          <w:sz w:val="22"/>
          <w:szCs w:val="22"/>
          <w:lang w:val="fr-BE"/>
        </w:rPr>
        <w:t>«Madame,</w:t>
      </w:r>
    </w:p>
    <w:p w:rsidR="00B55C05" w:rsidRPr="00E45C22" w:rsidRDefault="00B55C05" w:rsidP="00B55C05">
      <w:pPr>
        <w:spacing w:before="16"/>
        <w:ind w:left="289"/>
        <w:jc w:val="both"/>
        <w:textAlignment w:val="baseline"/>
        <w:rPr>
          <w:rFonts w:ascii="Palatino Linotype" w:eastAsia="Garamond" w:hAnsi="Palatino Linotype"/>
          <w:i/>
          <w:color w:val="000000"/>
          <w:spacing w:val="10"/>
          <w:sz w:val="22"/>
          <w:szCs w:val="22"/>
          <w:lang w:val="fr-FR"/>
        </w:rPr>
      </w:pPr>
      <w:r w:rsidRPr="00E45C22">
        <w:rPr>
          <w:rFonts w:ascii="Palatino Linotype" w:eastAsia="Garamond" w:hAnsi="Palatino Linotype"/>
          <w:i/>
          <w:color w:val="000000"/>
          <w:spacing w:val="10"/>
          <w:sz w:val="22"/>
          <w:szCs w:val="22"/>
          <w:lang w:val="fr-BE"/>
        </w:rPr>
        <w:t>Monsieur,</w:t>
      </w:r>
      <w:r w:rsidRPr="00E45C22">
        <w:rPr>
          <w:rFonts w:ascii="Palatino Linotype" w:eastAsia="Garamond" w:hAnsi="Palatino Linotype"/>
          <w:i/>
          <w:color w:val="000000"/>
          <w:spacing w:val="10"/>
          <w:sz w:val="22"/>
          <w:szCs w:val="22"/>
          <w:lang w:val="fr-FR"/>
        </w:rPr>
        <w:t xml:space="preserve"> </w:t>
      </w:r>
    </w:p>
    <w:p w:rsidR="00B55C05" w:rsidRPr="00E45C22" w:rsidRDefault="00B55C05" w:rsidP="00B55C05">
      <w:pPr>
        <w:spacing w:before="16"/>
        <w:ind w:left="289"/>
        <w:jc w:val="both"/>
        <w:textAlignment w:val="baseline"/>
        <w:rPr>
          <w:rFonts w:ascii="Palatino Linotype" w:eastAsia="Garamond" w:hAnsi="Palatino Linotype"/>
          <w:i/>
          <w:color w:val="000000"/>
          <w:spacing w:val="10"/>
          <w:sz w:val="22"/>
          <w:szCs w:val="22"/>
          <w:lang w:val="fr-BE"/>
        </w:rPr>
      </w:pPr>
    </w:p>
    <w:p w:rsidR="00B55C05" w:rsidRPr="00E45C22" w:rsidRDefault="00B55C05" w:rsidP="00B55C05">
      <w:pPr>
        <w:spacing w:before="14"/>
        <w:ind w:left="289" w:right="144"/>
        <w:jc w:val="both"/>
        <w:textAlignment w:val="baseline"/>
        <w:rPr>
          <w:rFonts w:ascii="Palatino Linotype" w:eastAsia="Garamond" w:hAnsi="Palatino Linotype"/>
          <w:i/>
          <w:color w:val="000000"/>
          <w:spacing w:val="11"/>
          <w:sz w:val="22"/>
          <w:szCs w:val="22"/>
          <w:lang w:val="fr-BE"/>
        </w:rPr>
      </w:pPr>
      <w:r w:rsidRPr="00E45C22">
        <w:rPr>
          <w:rFonts w:ascii="Palatino Linotype" w:eastAsia="Garamond" w:hAnsi="Palatino Linotype"/>
          <w:i/>
          <w:color w:val="000000"/>
          <w:spacing w:val="11"/>
          <w:sz w:val="22"/>
          <w:szCs w:val="22"/>
          <w:lang w:val="fr-FR"/>
        </w:rPr>
        <w:t>Vous vous êtes</w:t>
      </w:r>
      <w:r w:rsidRPr="00E45C22">
        <w:rPr>
          <w:rFonts w:ascii="Palatino Linotype" w:eastAsia="Garamond" w:hAnsi="Palatino Linotype"/>
          <w:i/>
          <w:color w:val="000000"/>
          <w:spacing w:val="11"/>
          <w:sz w:val="22"/>
          <w:szCs w:val="22"/>
          <w:lang w:val="fr-BE"/>
        </w:rPr>
        <w:t xml:space="preserve"> vu</w:t>
      </w:r>
      <w:r w:rsidRPr="00E45C22">
        <w:rPr>
          <w:rFonts w:ascii="Palatino Linotype" w:eastAsia="Garamond" w:hAnsi="Palatino Linotype"/>
          <w:i/>
          <w:color w:val="000000"/>
          <w:spacing w:val="11"/>
          <w:sz w:val="22"/>
          <w:szCs w:val="22"/>
          <w:lang w:val="fr-FR"/>
        </w:rPr>
        <w:t xml:space="preserve"> notifier une décision</w:t>
      </w:r>
      <w:r w:rsidRPr="00E45C22">
        <w:rPr>
          <w:rFonts w:ascii="Palatino Linotype" w:eastAsia="Garamond" w:hAnsi="Palatino Linotype"/>
          <w:i/>
          <w:color w:val="000000"/>
          <w:spacing w:val="11"/>
          <w:sz w:val="22"/>
          <w:szCs w:val="22"/>
          <w:lang w:val="fr-BE"/>
        </w:rPr>
        <w:t xml:space="preserve"> de</w:t>
      </w:r>
      <w:r w:rsidRPr="00E45C22">
        <w:rPr>
          <w:rFonts w:ascii="Palatino Linotype" w:eastAsia="Garamond" w:hAnsi="Palatino Linotype"/>
          <w:i/>
          <w:color w:val="000000"/>
          <w:spacing w:val="11"/>
          <w:sz w:val="22"/>
          <w:szCs w:val="22"/>
          <w:lang w:val="fr-FR"/>
        </w:rPr>
        <w:t xml:space="preserve"> refus</w:t>
      </w:r>
      <w:r w:rsidRPr="00E45C22">
        <w:rPr>
          <w:rFonts w:ascii="Palatino Linotype" w:eastAsia="Garamond" w:hAnsi="Palatino Linotype"/>
          <w:i/>
          <w:color w:val="000000"/>
          <w:spacing w:val="11"/>
          <w:sz w:val="22"/>
          <w:szCs w:val="22"/>
          <w:lang w:val="fr-BE"/>
        </w:rPr>
        <w:t xml:space="preserve"> de</w:t>
      </w:r>
      <w:r w:rsidRPr="00E45C22">
        <w:rPr>
          <w:rFonts w:ascii="Palatino Linotype" w:eastAsia="Garamond" w:hAnsi="Palatino Linotype"/>
          <w:i/>
          <w:color w:val="000000"/>
          <w:spacing w:val="11"/>
          <w:sz w:val="22"/>
          <w:szCs w:val="22"/>
          <w:lang w:val="fr-FR"/>
        </w:rPr>
        <w:t xml:space="preserve"> séjour avec ordre</w:t>
      </w:r>
      <w:r w:rsidRPr="00E45C22">
        <w:rPr>
          <w:rFonts w:ascii="Palatino Linotype" w:eastAsia="Garamond" w:hAnsi="Palatino Linotype"/>
          <w:i/>
          <w:color w:val="000000"/>
          <w:spacing w:val="11"/>
          <w:sz w:val="22"/>
          <w:szCs w:val="22"/>
          <w:lang w:val="fr-BE"/>
        </w:rPr>
        <w:t xml:space="preserve"> de quitter le</w:t>
      </w:r>
      <w:r w:rsidRPr="00E45C22">
        <w:rPr>
          <w:rFonts w:ascii="Palatino Linotype" w:eastAsia="Garamond" w:hAnsi="Palatino Linotype"/>
          <w:i/>
          <w:color w:val="000000"/>
          <w:spacing w:val="11"/>
          <w:sz w:val="22"/>
          <w:szCs w:val="22"/>
          <w:lang w:val="fr-FR"/>
        </w:rPr>
        <w:t xml:space="preserve"> territoire</w:t>
      </w:r>
      <w:r w:rsidRPr="00E45C22">
        <w:rPr>
          <w:rFonts w:ascii="Palatino Linotype" w:eastAsia="Garamond" w:hAnsi="Palatino Linotype"/>
          <w:i/>
          <w:color w:val="000000"/>
          <w:spacing w:val="11"/>
          <w:sz w:val="22"/>
          <w:szCs w:val="22"/>
          <w:lang w:val="fr-BE"/>
        </w:rPr>
        <w:t xml:space="preserve"> (annexe 26</w:t>
      </w:r>
      <w:r w:rsidRPr="00E45C22">
        <w:rPr>
          <w:rFonts w:ascii="Palatino Linotype" w:eastAsia="Garamond" w:hAnsi="Palatino Linotype"/>
          <w:i/>
          <w:color w:val="000000"/>
          <w:spacing w:val="11"/>
          <w:sz w:val="22"/>
          <w:szCs w:val="22"/>
          <w:lang w:val="fr-FR"/>
        </w:rPr>
        <w:t xml:space="preserve"> quater)</w:t>
      </w:r>
      <w:r w:rsidRPr="00E45C22">
        <w:rPr>
          <w:rFonts w:ascii="Palatino Linotype" w:eastAsia="Garamond" w:hAnsi="Palatino Linotype"/>
          <w:i/>
          <w:color w:val="000000"/>
          <w:spacing w:val="11"/>
          <w:sz w:val="22"/>
          <w:szCs w:val="22"/>
          <w:lang w:val="fr-BE"/>
        </w:rPr>
        <w:t xml:space="preserve"> en date du 15/12/2021. La notification de</w:t>
      </w:r>
      <w:r w:rsidRPr="00E45C22">
        <w:rPr>
          <w:rFonts w:ascii="Palatino Linotype" w:eastAsia="Garamond" w:hAnsi="Palatino Linotype"/>
          <w:i/>
          <w:color w:val="000000"/>
          <w:spacing w:val="11"/>
          <w:sz w:val="22"/>
          <w:szCs w:val="22"/>
          <w:lang w:val="fr-FR"/>
        </w:rPr>
        <w:t xml:space="preserve"> cette décision signifie</w:t>
      </w:r>
      <w:r w:rsidRPr="00E45C22">
        <w:rPr>
          <w:rFonts w:ascii="Palatino Linotype" w:eastAsia="Garamond" w:hAnsi="Palatino Linotype"/>
          <w:i/>
          <w:color w:val="000000"/>
          <w:spacing w:val="11"/>
          <w:sz w:val="22"/>
          <w:szCs w:val="22"/>
          <w:lang w:val="fr-BE"/>
        </w:rPr>
        <w:t xml:space="preserve"> que</w:t>
      </w:r>
      <w:r w:rsidRPr="00E45C22">
        <w:rPr>
          <w:rFonts w:ascii="Palatino Linotype" w:eastAsia="Garamond" w:hAnsi="Palatino Linotype"/>
          <w:i/>
          <w:color w:val="000000"/>
          <w:spacing w:val="11"/>
          <w:sz w:val="22"/>
          <w:szCs w:val="22"/>
          <w:lang w:val="fr-FR"/>
        </w:rPr>
        <w:t xml:space="preserve"> vous devez vous rendre</w:t>
      </w:r>
      <w:r w:rsidRPr="00E45C22">
        <w:rPr>
          <w:rFonts w:ascii="Palatino Linotype" w:eastAsia="Garamond" w:hAnsi="Palatino Linotype"/>
          <w:i/>
          <w:color w:val="000000"/>
          <w:spacing w:val="11"/>
          <w:sz w:val="22"/>
          <w:szCs w:val="22"/>
          <w:lang w:val="fr-BE"/>
        </w:rPr>
        <w:t xml:space="preserve"> dans</w:t>
      </w:r>
      <w:r w:rsidRPr="00E45C22">
        <w:rPr>
          <w:rFonts w:ascii="Palatino Linotype" w:eastAsia="Garamond" w:hAnsi="Palatino Linotype"/>
          <w:i/>
          <w:color w:val="000000"/>
          <w:spacing w:val="11"/>
          <w:sz w:val="22"/>
          <w:szCs w:val="22"/>
          <w:lang w:val="fr-FR"/>
        </w:rPr>
        <w:t xml:space="preserve"> l'état membre responsable</w:t>
      </w:r>
      <w:r w:rsidRPr="00E45C22">
        <w:rPr>
          <w:rFonts w:ascii="Palatino Linotype" w:eastAsia="Garamond" w:hAnsi="Palatino Linotype"/>
          <w:i/>
          <w:color w:val="000000"/>
          <w:spacing w:val="11"/>
          <w:sz w:val="22"/>
          <w:szCs w:val="22"/>
          <w:lang w:val="fr-BE"/>
        </w:rPr>
        <w:t xml:space="preserve"> pour le</w:t>
      </w:r>
      <w:r w:rsidRPr="00E45C22">
        <w:rPr>
          <w:rFonts w:ascii="Palatino Linotype" w:eastAsia="Garamond" w:hAnsi="Palatino Linotype"/>
          <w:i/>
          <w:color w:val="000000"/>
          <w:spacing w:val="11"/>
          <w:sz w:val="22"/>
          <w:szCs w:val="22"/>
          <w:lang w:val="fr-FR"/>
        </w:rPr>
        <w:t xml:space="preserve"> traitement</w:t>
      </w:r>
      <w:r w:rsidRPr="00E45C22">
        <w:rPr>
          <w:rFonts w:ascii="Palatino Linotype" w:eastAsia="Garamond" w:hAnsi="Palatino Linotype"/>
          <w:i/>
          <w:color w:val="000000"/>
          <w:spacing w:val="11"/>
          <w:sz w:val="22"/>
          <w:szCs w:val="22"/>
          <w:lang w:val="fr-BE"/>
        </w:rPr>
        <w:t xml:space="preserve"> de</w:t>
      </w:r>
      <w:r w:rsidRPr="00E45C22">
        <w:rPr>
          <w:rFonts w:ascii="Palatino Linotype" w:eastAsia="Garamond" w:hAnsi="Palatino Linotype"/>
          <w:i/>
          <w:color w:val="000000"/>
          <w:spacing w:val="11"/>
          <w:sz w:val="22"/>
          <w:szCs w:val="22"/>
          <w:lang w:val="fr-FR"/>
        </w:rPr>
        <w:t xml:space="preserve"> votre demande</w:t>
      </w:r>
      <w:r w:rsidRPr="00E45C22">
        <w:rPr>
          <w:rFonts w:ascii="Palatino Linotype" w:eastAsia="Garamond" w:hAnsi="Palatino Linotype"/>
          <w:i/>
          <w:color w:val="000000"/>
          <w:spacing w:val="11"/>
          <w:sz w:val="22"/>
          <w:szCs w:val="22"/>
          <w:lang w:val="fr-BE"/>
        </w:rPr>
        <w:t xml:space="preserve"> de protection internationale.</w:t>
      </w:r>
      <w:r w:rsidRPr="00E45C22">
        <w:rPr>
          <w:rFonts w:ascii="Palatino Linotype" w:eastAsia="Garamond" w:hAnsi="Palatino Linotype"/>
          <w:i/>
          <w:color w:val="000000"/>
          <w:spacing w:val="11"/>
          <w:sz w:val="22"/>
          <w:szCs w:val="22"/>
          <w:lang w:val="fr-FR"/>
        </w:rPr>
        <w:t xml:space="preserve"> Vous pouvez vous y rendre</w:t>
      </w:r>
      <w:r w:rsidRPr="00E45C22">
        <w:rPr>
          <w:rFonts w:ascii="Palatino Linotype" w:eastAsia="Garamond" w:hAnsi="Palatino Linotype"/>
          <w:i/>
          <w:color w:val="000000"/>
          <w:spacing w:val="11"/>
          <w:sz w:val="22"/>
          <w:szCs w:val="22"/>
          <w:lang w:val="fr-BE"/>
        </w:rPr>
        <w:t xml:space="preserve"> par vos</w:t>
      </w:r>
      <w:r w:rsidRPr="00E45C22">
        <w:rPr>
          <w:rFonts w:ascii="Palatino Linotype" w:eastAsia="Garamond" w:hAnsi="Palatino Linotype"/>
          <w:i/>
          <w:color w:val="000000"/>
          <w:spacing w:val="11"/>
          <w:sz w:val="22"/>
          <w:szCs w:val="22"/>
          <w:lang w:val="fr-FR"/>
        </w:rPr>
        <w:t xml:space="preserve"> propres moyens ou solliciter l'appui</w:t>
      </w:r>
      <w:r w:rsidRPr="00E45C22">
        <w:rPr>
          <w:rFonts w:ascii="Palatino Linotype" w:eastAsia="Garamond" w:hAnsi="Palatino Linotype"/>
          <w:i/>
          <w:color w:val="000000"/>
          <w:spacing w:val="11"/>
          <w:sz w:val="22"/>
          <w:szCs w:val="22"/>
          <w:lang w:val="fr-BE"/>
        </w:rPr>
        <w:t xml:space="preserve"> de</w:t>
      </w:r>
      <w:r w:rsidRPr="00E45C22">
        <w:rPr>
          <w:rFonts w:ascii="Palatino Linotype" w:eastAsia="Garamond" w:hAnsi="Palatino Linotype"/>
          <w:i/>
          <w:color w:val="000000"/>
          <w:spacing w:val="11"/>
          <w:sz w:val="22"/>
          <w:szCs w:val="22"/>
          <w:lang w:val="fr-FR"/>
        </w:rPr>
        <w:t xml:space="preserve"> l'Office</w:t>
      </w:r>
      <w:r w:rsidRPr="00E45C22">
        <w:rPr>
          <w:rFonts w:ascii="Palatino Linotype" w:eastAsia="Garamond" w:hAnsi="Palatino Linotype"/>
          <w:i/>
          <w:color w:val="000000"/>
          <w:spacing w:val="11"/>
          <w:sz w:val="22"/>
          <w:szCs w:val="22"/>
          <w:lang w:val="fr-BE"/>
        </w:rPr>
        <w:t xml:space="preserve"> des</w:t>
      </w:r>
      <w:r w:rsidRPr="00E45C22">
        <w:rPr>
          <w:rFonts w:ascii="Palatino Linotype" w:eastAsia="Garamond" w:hAnsi="Palatino Linotype"/>
          <w:i/>
          <w:color w:val="000000"/>
          <w:spacing w:val="11"/>
          <w:sz w:val="22"/>
          <w:szCs w:val="22"/>
          <w:lang w:val="fr-FR"/>
        </w:rPr>
        <w:t xml:space="preserve"> Etrangers</w:t>
      </w:r>
      <w:r w:rsidRPr="00E45C22">
        <w:rPr>
          <w:rFonts w:ascii="Palatino Linotype" w:eastAsia="Garamond" w:hAnsi="Palatino Linotype"/>
          <w:i/>
          <w:color w:val="000000"/>
          <w:spacing w:val="11"/>
          <w:sz w:val="22"/>
          <w:szCs w:val="22"/>
          <w:lang w:val="fr-BE"/>
        </w:rPr>
        <w:t xml:space="preserve"> pour</w:t>
      </w:r>
      <w:r w:rsidRPr="00E45C22">
        <w:rPr>
          <w:rFonts w:ascii="Palatino Linotype" w:eastAsia="Garamond" w:hAnsi="Palatino Linotype"/>
          <w:i/>
          <w:color w:val="000000"/>
          <w:spacing w:val="11"/>
          <w:sz w:val="22"/>
          <w:szCs w:val="22"/>
          <w:lang w:val="fr-FR"/>
        </w:rPr>
        <w:t xml:space="preserve"> vous aider</w:t>
      </w:r>
      <w:r w:rsidRPr="00E45C22">
        <w:rPr>
          <w:rFonts w:ascii="Palatino Linotype" w:eastAsia="Garamond" w:hAnsi="Palatino Linotype"/>
          <w:i/>
          <w:color w:val="000000"/>
          <w:spacing w:val="11"/>
          <w:sz w:val="22"/>
          <w:szCs w:val="22"/>
          <w:lang w:val="fr-BE"/>
        </w:rPr>
        <w:t xml:space="preserve"> ä organiser</w:t>
      </w:r>
      <w:r w:rsidRPr="00E45C22">
        <w:rPr>
          <w:rFonts w:ascii="Palatino Linotype" w:eastAsia="Garamond" w:hAnsi="Palatino Linotype"/>
          <w:i/>
          <w:color w:val="000000"/>
          <w:spacing w:val="11"/>
          <w:sz w:val="22"/>
          <w:szCs w:val="22"/>
          <w:lang w:val="fr-FR"/>
        </w:rPr>
        <w:t xml:space="preserve"> votre transfert</w:t>
      </w:r>
      <w:r w:rsidRPr="00E45C22">
        <w:rPr>
          <w:rFonts w:ascii="Palatino Linotype" w:eastAsia="Garamond" w:hAnsi="Palatino Linotype"/>
          <w:i/>
          <w:color w:val="000000"/>
          <w:spacing w:val="11"/>
          <w:sz w:val="22"/>
          <w:szCs w:val="22"/>
          <w:lang w:val="fr-BE"/>
        </w:rPr>
        <w:t xml:space="preserve"> vers</w:t>
      </w:r>
      <w:r w:rsidRPr="00E45C22">
        <w:rPr>
          <w:rFonts w:ascii="Palatino Linotype" w:eastAsia="Garamond" w:hAnsi="Palatino Linotype"/>
          <w:i/>
          <w:color w:val="000000"/>
          <w:spacing w:val="11"/>
          <w:sz w:val="22"/>
          <w:szCs w:val="22"/>
          <w:lang w:val="fr-FR"/>
        </w:rPr>
        <w:t xml:space="preserve"> cet</w:t>
      </w:r>
      <w:r w:rsidRPr="00E45C22">
        <w:rPr>
          <w:rFonts w:ascii="Palatino Linotype" w:eastAsia="Garamond" w:hAnsi="Palatino Linotype"/>
          <w:i/>
          <w:color w:val="000000"/>
          <w:spacing w:val="11"/>
          <w:sz w:val="22"/>
          <w:szCs w:val="22"/>
          <w:lang w:val="fr-BE"/>
        </w:rPr>
        <w:t xml:space="preserve"> Etat</w:t>
      </w:r>
      <w:r w:rsidRPr="00E45C22">
        <w:rPr>
          <w:rFonts w:ascii="Palatino Linotype" w:eastAsia="Garamond" w:hAnsi="Palatino Linotype"/>
          <w:i/>
          <w:color w:val="000000"/>
          <w:spacing w:val="11"/>
          <w:sz w:val="22"/>
          <w:szCs w:val="22"/>
          <w:lang w:val="fr-FR"/>
        </w:rPr>
        <w:t xml:space="preserve"> membre. Cette décision</w:t>
      </w:r>
      <w:r w:rsidRPr="00E45C22">
        <w:rPr>
          <w:rFonts w:ascii="Palatino Linotype" w:eastAsia="Garamond" w:hAnsi="Palatino Linotype"/>
          <w:i/>
          <w:color w:val="000000"/>
          <w:spacing w:val="11"/>
          <w:sz w:val="22"/>
          <w:szCs w:val="22"/>
          <w:lang w:val="fr-BE"/>
        </w:rPr>
        <w:t xml:space="preserve"> de</w:t>
      </w:r>
      <w:r w:rsidRPr="00E45C22">
        <w:rPr>
          <w:rFonts w:ascii="Palatino Linotype" w:eastAsia="Garamond" w:hAnsi="Palatino Linotype"/>
          <w:i/>
          <w:color w:val="000000"/>
          <w:spacing w:val="11"/>
          <w:sz w:val="22"/>
          <w:szCs w:val="22"/>
          <w:lang w:val="fr-FR"/>
        </w:rPr>
        <w:t xml:space="preserve"> refus</w:t>
      </w:r>
      <w:r w:rsidRPr="00E45C22">
        <w:rPr>
          <w:rFonts w:ascii="Palatino Linotype" w:eastAsia="Garamond" w:hAnsi="Palatino Linotype"/>
          <w:i/>
          <w:color w:val="000000"/>
          <w:spacing w:val="11"/>
          <w:sz w:val="22"/>
          <w:szCs w:val="22"/>
          <w:lang w:val="fr-BE"/>
        </w:rPr>
        <w:t xml:space="preserve"> de</w:t>
      </w:r>
      <w:r w:rsidRPr="00E45C22">
        <w:rPr>
          <w:rFonts w:ascii="Palatino Linotype" w:eastAsia="Garamond" w:hAnsi="Palatino Linotype"/>
          <w:i/>
          <w:color w:val="000000"/>
          <w:spacing w:val="11"/>
          <w:sz w:val="22"/>
          <w:szCs w:val="22"/>
          <w:lang w:val="fr-FR"/>
        </w:rPr>
        <w:t xml:space="preserve"> séjour avec ordre</w:t>
      </w:r>
      <w:r w:rsidRPr="00E45C22">
        <w:rPr>
          <w:rFonts w:ascii="Palatino Linotype" w:eastAsia="Garamond" w:hAnsi="Palatino Linotype"/>
          <w:i/>
          <w:color w:val="000000"/>
          <w:spacing w:val="11"/>
          <w:sz w:val="22"/>
          <w:szCs w:val="22"/>
          <w:lang w:val="fr-BE"/>
        </w:rPr>
        <w:t xml:space="preserve"> de quitter le</w:t>
      </w:r>
      <w:r w:rsidRPr="00E45C22">
        <w:rPr>
          <w:rFonts w:ascii="Palatino Linotype" w:eastAsia="Garamond" w:hAnsi="Palatino Linotype"/>
          <w:i/>
          <w:color w:val="000000"/>
          <w:spacing w:val="11"/>
          <w:sz w:val="22"/>
          <w:szCs w:val="22"/>
          <w:lang w:val="fr-FR"/>
        </w:rPr>
        <w:t xml:space="preserve"> territoire</w:t>
      </w:r>
      <w:r w:rsidRPr="00E45C22">
        <w:rPr>
          <w:rFonts w:ascii="Palatino Linotype" w:eastAsia="Garamond" w:hAnsi="Palatino Linotype"/>
          <w:i/>
          <w:color w:val="000000"/>
          <w:spacing w:val="11"/>
          <w:sz w:val="22"/>
          <w:szCs w:val="22"/>
          <w:lang w:val="fr-BE"/>
        </w:rPr>
        <w:t xml:space="preserve"> peut faire</w:t>
      </w:r>
      <w:r w:rsidRPr="00E45C22">
        <w:rPr>
          <w:rFonts w:ascii="Palatino Linotype" w:eastAsia="Garamond" w:hAnsi="Palatino Linotype"/>
          <w:i/>
          <w:color w:val="000000"/>
          <w:spacing w:val="11"/>
          <w:sz w:val="22"/>
          <w:szCs w:val="22"/>
          <w:lang w:val="fr-FR"/>
        </w:rPr>
        <w:t xml:space="preserve"> l'objet d'un recours devant</w:t>
      </w:r>
      <w:r w:rsidRPr="00E45C22">
        <w:rPr>
          <w:rFonts w:ascii="Palatino Linotype" w:eastAsia="Garamond" w:hAnsi="Palatino Linotype"/>
          <w:i/>
          <w:color w:val="000000"/>
          <w:spacing w:val="11"/>
          <w:sz w:val="22"/>
          <w:szCs w:val="22"/>
          <w:lang w:val="fr-BE"/>
        </w:rPr>
        <w:t xml:space="preserve"> le</w:t>
      </w:r>
      <w:r w:rsidRPr="00E45C22">
        <w:rPr>
          <w:rFonts w:ascii="Palatino Linotype" w:eastAsia="Garamond" w:hAnsi="Palatino Linotype"/>
          <w:i/>
          <w:color w:val="000000"/>
          <w:spacing w:val="11"/>
          <w:sz w:val="22"/>
          <w:szCs w:val="22"/>
          <w:lang w:val="fr-FR"/>
        </w:rPr>
        <w:t xml:space="preserve"> conseil</w:t>
      </w:r>
      <w:r w:rsidRPr="00E45C22">
        <w:rPr>
          <w:rFonts w:ascii="Palatino Linotype" w:eastAsia="Garamond" w:hAnsi="Palatino Linotype"/>
          <w:i/>
          <w:color w:val="000000"/>
          <w:spacing w:val="11"/>
          <w:sz w:val="22"/>
          <w:szCs w:val="22"/>
          <w:lang w:val="fr-BE"/>
        </w:rPr>
        <w:t xml:space="preserve"> du</w:t>
      </w:r>
      <w:r w:rsidRPr="00E45C22">
        <w:rPr>
          <w:rFonts w:ascii="Palatino Linotype" w:eastAsia="Garamond" w:hAnsi="Palatino Linotype"/>
          <w:i/>
          <w:color w:val="000000"/>
          <w:spacing w:val="11"/>
          <w:sz w:val="22"/>
          <w:szCs w:val="22"/>
          <w:lang w:val="fr-FR"/>
        </w:rPr>
        <w:t xml:space="preserve"> contentieux</w:t>
      </w:r>
      <w:r w:rsidRPr="00E45C22">
        <w:rPr>
          <w:rFonts w:ascii="Palatino Linotype" w:eastAsia="Garamond" w:hAnsi="Palatino Linotype"/>
          <w:i/>
          <w:color w:val="000000"/>
          <w:spacing w:val="11"/>
          <w:sz w:val="22"/>
          <w:szCs w:val="22"/>
          <w:lang w:val="fr-BE"/>
        </w:rPr>
        <w:t xml:space="preserve"> des</w:t>
      </w:r>
      <w:r w:rsidRPr="00E45C22">
        <w:rPr>
          <w:rFonts w:ascii="Palatino Linotype" w:eastAsia="Garamond" w:hAnsi="Palatino Linotype"/>
          <w:i/>
          <w:color w:val="000000"/>
          <w:spacing w:val="11"/>
          <w:sz w:val="22"/>
          <w:szCs w:val="22"/>
          <w:lang w:val="fr-FR"/>
        </w:rPr>
        <w:t xml:space="preserve"> étrangers.</w:t>
      </w:r>
      <w:r w:rsidRPr="00E45C22">
        <w:rPr>
          <w:rFonts w:ascii="Palatino Linotype" w:eastAsia="Garamond" w:hAnsi="Palatino Linotype"/>
          <w:i/>
          <w:color w:val="000000"/>
          <w:spacing w:val="11"/>
          <w:sz w:val="22"/>
          <w:szCs w:val="22"/>
          <w:lang w:val="fr-BE"/>
        </w:rPr>
        <w:t xml:space="preserve"> Les</w:t>
      </w:r>
      <w:r w:rsidRPr="00E45C22">
        <w:rPr>
          <w:rFonts w:ascii="Palatino Linotype" w:eastAsia="Garamond" w:hAnsi="Palatino Linotype"/>
          <w:i/>
          <w:color w:val="000000"/>
          <w:spacing w:val="11"/>
          <w:sz w:val="22"/>
          <w:szCs w:val="22"/>
          <w:lang w:val="fr-FR"/>
        </w:rPr>
        <w:t xml:space="preserve"> différentes possibilités</w:t>
      </w:r>
      <w:r w:rsidRPr="00E45C22">
        <w:rPr>
          <w:rFonts w:ascii="Palatino Linotype" w:eastAsia="Garamond" w:hAnsi="Palatino Linotype"/>
          <w:i/>
          <w:color w:val="000000"/>
          <w:spacing w:val="11"/>
          <w:sz w:val="22"/>
          <w:szCs w:val="22"/>
          <w:lang w:val="fr-BE"/>
        </w:rPr>
        <w:t xml:space="preserve"> de</w:t>
      </w:r>
      <w:r w:rsidRPr="00E45C22">
        <w:rPr>
          <w:rFonts w:ascii="Palatino Linotype" w:eastAsia="Garamond" w:hAnsi="Palatino Linotype"/>
          <w:i/>
          <w:color w:val="000000"/>
          <w:spacing w:val="11"/>
          <w:sz w:val="22"/>
          <w:szCs w:val="22"/>
          <w:lang w:val="fr-FR"/>
        </w:rPr>
        <w:t xml:space="preserve"> recours sont indiquées</w:t>
      </w:r>
      <w:r w:rsidRPr="00E45C22">
        <w:rPr>
          <w:rFonts w:ascii="Palatino Linotype" w:eastAsia="Garamond" w:hAnsi="Palatino Linotype"/>
          <w:i/>
          <w:color w:val="000000"/>
          <w:spacing w:val="11"/>
          <w:sz w:val="22"/>
          <w:szCs w:val="22"/>
          <w:lang w:val="fr-BE"/>
        </w:rPr>
        <w:t xml:space="preserve"> dans la</w:t>
      </w:r>
      <w:r w:rsidRPr="00E45C22">
        <w:rPr>
          <w:rFonts w:ascii="Palatino Linotype" w:eastAsia="Garamond" w:hAnsi="Palatino Linotype"/>
          <w:i/>
          <w:color w:val="000000"/>
          <w:spacing w:val="11"/>
          <w:sz w:val="22"/>
          <w:szCs w:val="22"/>
          <w:lang w:val="fr-FR"/>
        </w:rPr>
        <w:t xml:space="preserve"> décision qui vous</w:t>
      </w:r>
      <w:r w:rsidRPr="00E45C22">
        <w:rPr>
          <w:rFonts w:ascii="Palatino Linotype" w:eastAsia="Garamond" w:hAnsi="Palatino Linotype"/>
          <w:i/>
          <w:color w:val="000000"/>
          <w:spacing w:val="11"/>
          <w:sz w:val="22"/>
          <w:szCs w:val="22"/>
          <w:lang w:val="fr-BE"/>
        </w:rPr>
        <w:t xml:space="preserve"> a</w:t>
      </w:r>
      <w:r w:rsidRPr="00E45C22">
        <w:rPr>
          <w:rFonts w:ascii="Palatino Linotype" w:eastAsia="Garamond" w:hAnsi="Palatino Linotype"/>
          <w:i/>
          <w:color w:val="000000"/>
          <w:spacing w:val="11"/>
          <w:sz w:val="22"/>
          <w:szCs w:val="22"/>
          <w:lang w:val="fr-FR"/>
        </w:rPr>
        <w:t xml:space="preserve"> été notifiée</w:t>
      </w:r>
      <w:r w:rsidRPr="00E45C22">
        <w:rPr>
          <w:rFonts w:ascii="Palatino Linotype" w:eastAsia="Garamond" w:hAnsi="Palatino Linotype"/>
          <w:i/>
          <w:color w:val="000000"/>
          <w:spacing w:val="11"/>
          <w:sz w:val="22"/>
          <w:szCs w:val="22"/>
          <w:lang w:val="fr-BE"/>
        </w:rPr>
        <w:t xml:space="preserve"> par</w:t>
      </w:r>
      <w:r w:rsidRPr="00E45C22">
        <w:rPr>
          <w:rFonts w:ascii="Palatino Linotype" w:eastAsia="Garamond" w:hAnsi="Palatino Linotype"/>
          <w:i/>
          <w:color w:val="000000"/>
          <w:spacing w:val="11"/>
          <w:sz w:val="22"/>
          <w:szCs w:val="22"/>
          <w:lang w:val="fr-FR"/>
        </w:rPr>
        <w:t xml:space="preserve"> l'office</w:t>
      </w:r>
      <w:r w:rsidRPr="00E45C22">
        <w:rPr>
          <w:rFonts w:ascii="Palatino Linotype" w:eastAsia="Garamond" w:hAnsi="Palatino Linotype"/>
          <w:i/>
          <w:color w:val="000000"/>
          <w:spacing w:val="11"/>
          <w:sz w:val="22"/>
          <w:szCs w:val="22"/>
          <w:lang w:val="fr-BE"/>
        </w:rPr>
        <w:t xml:space="preserve"> des</w:t>
      </w:r>
      <w:r w:rsidRPr="00E45C22">
        <w:rPr>
          <w:rFonts w:ascii="Palatino Linotype" w:eastAsia="Garamond" w:hAnsi="Palatino Linotype"/>
          <w:i/>
          <w:color w:val="000000"/>
          <w:spacing w:val="11"/>
          <w:sz w:val="22"/>
          <w:szCs w:val="22"/>
          <w:lang w:val="fr-FR"/>
        </w:rPr>
        <w:t xml:space="preserve"> étrangers.</w:t>
      </w:r>
      <w:r w:rsidRPr="00E45C22">
        <w:rPr>
          <w:rFonts w:ascii="Palatino Linotype" w:eastAsia="Garamond" w:hAnsi="Palatino Linotype"/>
          <w:i/>
          <w:color w:val="000000"/>
          <w:spacing w:val="11"/>
          <w:sz w:val="22"/>
          <w:szCs w:val="22"/>
          <w:lang w:val="fr-BE"/>
        </w:rPr>
        <w:t xml:space="preserve"> </w:t>
      </w:r>
    </w:p>
    <w:p w:rsidR="00B55C05" w:rsidRPr="00E45C22" w:rsidRDefault="00B55C05" w:rsidP="00B55C05">
      <w:pPr>
        <w:spacing w:before="14"/>
        <w:ind w:left="289" w:right="144"/>
        <w:jc w:val="both"/>
        <w:textAlignment w:val="baseline"/>
        <w:rPr>
          <w:rFonts w:ascii="Palatino Linotype" w:eastAsia="Garamond" w:hAnsi="Palatino Linotype"/>
          <w:i/>
          <w:color w:val="000000"/>
          <w:spacing w:val="11"/>
          <w:sz w:val="22"/>
          <w:szCs w:val="22"/>
          <w:lang w:val="fr-BE"/>
        </w:rPr>
      </w:pPr>
    </w:p>
    <w:p w:rsidR="00B55C05" w:rsidRPr="00E45C22" w:rsidRDefault="00B55C05" w:rsidP="00B55C05">
      <w:pPr>
        <w:spacing w:before="14"/>
        <w:ind w:left="289" w:right="144"/>
        <w:jc w:val="both"/>
        <w:textAlignment w:val="baseline"/>
        <w:rPr>
          <w:rFonts w:ascii="Palatino Linotype" w:eastAsia="Garamond" w:hAnsi="Palatino Linotype"/>
          <w:i/>
          <w:color w:val="000000"/>
          <w:spacing w:val="7"/>
          <w:sz w:val="22"/>
          <w:szCs w:val="22"/>
          <w:lang w:val="fr-FR"/>
        </w:rPr>
      </w:pPr>
      <w:r w:rsidRPr="00E45C22">
        <w:rPr>
          <w:rFonts w:ascii="Palatino Linotype" w:eastAsia="Garamond" w:hAnsi="Palatino Linotype"/>
          <w:i/>
          <w:color w:val="000000"/>
          <w:spacing w:val="7"/>
          <w:sz w:val="22"/>
          <w:szCs w:val="22"/>
          <w:lang w:val="fr-BE"/>
        </w:rPr>
        <w:t>La</w:t>
      </w:r>
      <w:r w:rsidRPr="00E45C22">
        <w:rPr>
          <w:rFonts w:ascii="Palatino Linotype" w:eastAsia="Garamond" w:hAnsi="Palatino Linotype"/>
          <w:i/>
          <w:color w:val="000000"/>
          <w:spacing w:val="7"/>
          <w:sz w:val="22"/>
          <w:szCs w:val="22"/>
          <w:lang w:val="fr-FR"/>
        </w:rPr>
        <w:t xml:space="preserve"> présente décision est conforme à</w:t>
      </w:r>
      <w:r w:rsidRPr="00E45C22">
        <w:rPr>
          <w:rFonts w:ascii="Palatino Linotype" w:eastAsia="Garamond" w:hAnsi="Palatino Linotype"/>
          <w:i/>
          <w:color w:val="000000"/>
          <w:spacing w:val="7"/>
          <w:sz w:val="22"/>
          <w:szCs w:val="22"/>
          <w:lang w:val="fr-BE"/>
        </w:rPr>
        <w:t xml:space="preserve"> la</w:t>
      </w:r>
      <w:r w:rsidRPr="00E45C22">
        <w:rPr>
          <w:rFonts w:ascii="Palatino Linotype" w:eastAsia="Garamond" w:hAnsi="Palatino Linotype"/>
          <w:i/>
          <w:color w:val="000000"/>
          <w:spacing w:val="7"/>
          <w:sz w:val="22"/>
          <w:szCs w:val="22"/>
          <w:lang w:val="fr-FR"/>
        </w:rPr>
        <w:t xml:space="preserve"> jurisprudence</w:t>
      </w:r>
      <w:r w:rsidRPr="00E45C22">
        <w:rPr>
          <w:rFonts w:ascii="Palatino Linotype" w:eastAsia="Garamond" w:hAnsi="Palatino Linotype"/>
          <w:i/>
          <w:color w:val="000000"/>
          <w:spacing w:val="7"/>
          <w:sz w:val="22"/>
          <w:szCs w:val="22"/>
          <w:lang w:val="fr-BE"/>
        </w:rPr>
        <w:t xml:space="preserve"> de la</w:t>
      </w:r>
      <w:r w:rsidRPr="00E45C22">
        <w:rPr>
          <w:rFonts w:ascii="Palatino Linotype" w:eastAsia="Garamond" w:hAnsi="Palatino Linotype"/>
          <w:i/>
          <w:color w:val="000000"/>
          <w:spacing w:val="7"/>
          <w:sz w:val="22"/>
          <w:szCs w:val="22"/>
          <w:lang w:val="fr-FR"/>
        </w:rPr>
        <w:t xml:space="preserve"> cour</w:t>
      </w:r>
      <w:r w:rsidRPr="00E45C22">
        <w:rPr>
          <w:rFonts w:ascii="Palatino Linotype" w:eastAsia="Garamond" w:hAnsi="Palatino Linotype"/>
          <w:i/>
          <w:color w:val="000000"/>
          <w:spacing w:val="7"/>
          <w:sz w:val="22"/>
          <w:szCs w:val="22"/>
          <w:lang w:val="fr-BE"/>
        </w:rPr>
        <w:t xml:space="preserve"> de</w:t>
      </w:r>
      <w:r w:rsidRPr="00E45C22">
        <w:rPr>
          <w:rFonts w:ascii="Palatino Linotype" w:eastAsia="Garamond" w:hAnsi="Palatino Linotype"/>
          <w:i/>
          <w:color w:val="000000"/>
          <w:spacing w:val="7"/>
          <w:sz w:val="22"/>
          <w:szCs w:val="22"/>
          <w:lang w:val="fr-FR"/>
        </w:rPr>
        <w:t xml:space="preserve"> justice</w:t>
      </w:r>
      <w:r w:rsidRPr="00E45C22">
        <w:rPr>
          <w:rFonts w:ascii="Palatino Linotype" w:eastAsia="Garamond" w:hAnsi="Palatino Linotype"/>
          <w:i/>
          <w:color w:val="000000"/>
          <w:spacing w:val="7"/>
          <w:sz w:val="22"/>
          <w:szCs w:val="22"/>
          <w:lang w:val="fr-BE"/>
        </w:rPr>
        <w:t xml:space="preserve"> de</w:t>
      </w:r>
      <w:r w:rsidRPr="00E45C22">
        <w:rPr>
          <w:rFonts w:ascii="Palatino Linotype" w:eastAsia="Garamond" w:hAnsi="Palatino Linotype"/>
          <w:i/>
          <w:color w:val="000000"/>
          <w:spacing w:val="7"/>
          <w:sz w:val="22"/>
          <w:szCs w:val="22"/>
          <w:lang w:val="fr-FR"/>
        </w:rPr>
        <w:t xml:space="preserve"> l'union européenne qui valide ce changement</w:t>
      </w:r>
      <w:r w:rsidRPr="00E45C22">
        <w:rPr>
          <w:rFonts w:ascii="Palatino Linotype" w:eastAsia="Garamond" w:hAnsi="Palatino Linotype"/>
          <w:i/>
          <w:color w:val="000000"/>
          <w:spacing w:val="7"/>
          <w:sz w:val="22"/>
          <w:szCs w:val="22"/>
          <w:lang w:val="fr-BE"/>
        </w:rPr>
        <w:t xml:space="preserve"> de</w:t>
      </w:r>
      <w:r w:rsidRPr="00E45C22">
        <w:rPr>
          <w:rFonts w:ascii="Palatino Linotype" w:eastAsia="Garamond" w:hAnsi="Palatino Linotype"/>
          <w:i/>
          <w:color w:val="000000"/>
          <w:spacing w:val="7"/>
          <w:sz w:val="22"/>
          <w:szCs w:val="22"/>
          <w:lang w:val="fr-FR"/>
        </w:rPr>
        <w:t xml:space="preserve"> lieu obligatoire d'inscription</w:t>
      </w:r>
      <w:r w:rsidRPr="00E45C22">
        <w:rPr>
          <w:rFonts w:ascii="Palatino Linotype" w:eastAsia="Garamond" w:hAnsi="Palatino Linotype"/>
          <w:i/>
          <w:color w:val="000000"/>
          <w:spacing w:val="7"/>
          <w:sz w:val="22"/>
          <w:szCs w:val="22"/>
          <w:lang w:val="fr-BE"/>
        </w:rPr>
        <w:t xml:space="preserve"> en</w:t>
      </w:r>
      <w:r w:rsidRPr="00E45C22">
        <w:rPr>
          <w:rFonts w:ascii="Palatino Linotype" w:eastAsia="Garamond" w:hAnsi="Palatino Linotype"/>
          <w:i/>
          <w:color w:val="000000"/>
          <w:spacing w:val="7"/>
          <w:sz w:val="22"/>
          <w:szCs w:val="22"/>
          <w:lang w:val="fr-FR"/>
        </w:rPr>
        <w:t xml:space="preserve"> dépit</w:t>
      </w:r>
      <w:r w:rsidRPr="00E45C22">
        <w:rPr>
          <w:rFonts w:ascii="Palatino Linotype" w:eastAsia="Garamond" w:hAnsi="Palatino Linotype"/>
          <w:i/>
          <w:color w:val="000000"/>
          <w:spacing w:val="7"/>
          <w:sz w:val="22"/>
          <w:szCs w:val="22"/>
          <w:lang w:val="fr-BE"/>
        </w:rPr>
        <w:t xml:space="preserve"> de</w:t>
      </w:r>
      <w:r w:rsidRPr="00E45C22">
        <w:rPr>
          <w:rFonts w:ascii="Palatino Linotype" w:eastAsia="Garamond" w:hAnsi="Palatino Linotype"/>
          <w:i/>
          <w:color w:val="000000"/>
          <w:spacing w:val="7"/>
          <w:sz w:val="22"/>
          <w:szCs w:val="22"/>
          <w:lang w:val="fr-FR"/>
        </w:rPr>
        <w:t xml:space="preserve"> l'introduction d'un recours contre</w:t>
      </w:r>
      <w:r w:rsidRPr="00E45C22">
        <w:rPr>
          <w:rFonts w:ascii="Palatino Linotype" w:eastAsia="Garamond" w:hAnsi="Palatino Linotype"/>
          <w:i/>
          <w:color w:val="000000"/>
          <w:spacing w:val="7"/>
          <w:sz w:val="22"/>
          <w:szCs w:val="22"/>
          <w:lang w:val="fr-BE"/>
        </w:rPr>
        <w:t xml:space="preserve"> la</w:t>
      </w:r>
      <w:r w:rsidRPr="00E45C22">
        <w:rPr>
          <w:rFonts w:ascii="Palatino Linotype" w:eastAsia="Garamond" w:hAnsi="Palatino Linotype"/>
          <w:i/>
          <w:color w:val="000000"/>
          <w:spacing w:val="7"/>
          <w:sz w:val="22"/>
          <w:szCs w:val="22"/>
          <w:lang w:val="fr-FR"/>
        </w:rPr>
        <w:t xml:space="preserve"> décision</w:t>
      </w:r>
      <w:r w:rsidRPr="00E45C22">
        <w:rPr>
          <w:rFonts w:ascii="Palatino Linotype" w:eastAsia="Garamond" w:hAnsi="Palatino Linotype"/>
          <w:i/>
          <w:color w:val="000000"/>
          <w:spacing w:val="7"/>
          <w:sz w:val="22"/>
          <w:szCs w:val="22"/>
          <w:lang w:val="fr-BE"/>
        </w:rPr>
        <w:t xml:space="preserve"> de</w:t>
      </w:r>
      <w:r w:rsidRPr="00E45C22">
        <w:rPr>
          <w:rFonts w:ascii="Palatino Linotype" w:eastAsia="Garamond" w:hAnsi="Palatino Linotype"/>
          <w:i/>
          <w:color w:val="000000"/>
          <w:spacing w:val="7"/>
          <w:sz w:val="22"/>
          <w:szCs w:val="22"/>
          <w:lang w:val="fr-FR"/>
        </w:rPr>
        <w:t xml:space="preserve"> transfert vers l'état membre responsable.</w:t>
      </w:r>
      <w:r w:rsidRPr="00E45C22">
        <w:rPr>
          <w:rFonts w:ascii="Palatino Linotype" w:eastAsia="Garamond" w:hAnsi="Palatino Linotype"/>
          <w:i/>
          <w:color w:val="000000"/>
          <w:spacing w:val="7"/>
          <w:sz w:val="22"/>
          <w:szCs w:val="22"/>
          <w:lang w:val="fr-BE"/>
        </w:rPr>
        <w:t xml:space="preserve"> En</w:t>
      </w:r>
      <w:r w:rsidRPr="00E45C22">
        <w:rPr>
          <w:rFonts w:ascii="Palatino Linotype" w:eastAsia="Garamond" w:hAnsi="Palatino Linotype"/>
          <w:i/>
          <w:color w:val="000000"/>
          <w:spacing w:val="7"/>
          <w:sz w:val="22"/>
          <w:szCs w:val="22"/>
          <w:lang w:val="fr-FR"/>
        </w:rPr>
        <w:t xml:space="preserve"> application</w:t>
      </w:r>
      <w:r w:rsidRPr="00E45C22">
        <w:rPr>
          <w:rFonts w:ascii="Palatino Linotype" w:eastAsia="Garamond" w:hAnsi="Palatino Linotype"/>
          <w:i/>
          <w:color w:val="000000"/>
          <w:spacing w:val="7"/>
          <w:sz w:val="22"/>
          <w:szCs w:val="22"/>
          <w:lang w:val="fr-BE"/>
        </w:rPr>
        <w:t xml:space="preserve"> de de</w:t>
      </w:r>
      <w:r w:rsidRPr="00E45C22">
        <w:rPr>
          <w:rFonts w:ascii="Palatino Linotype" w:eastAsia="Garamond" w:hAnsi="Palatino Linotype"/>
          <w:i/>
          <w:color w:val="000000"/>
          <w:spacing w:val="7"/>
          <w:sz w:val="22"/>
          <w:szCs w:val="22"/>
          <w:lang w:val="fr-FR"/>
        </w:rPr>
        <w:t xml:space="preserve"> l'article</w:t>
      </w:r>
      <w:r w:rsidRPr="00E45C22">
        <w:rPr>
          <w:rFonts w:ascii="Palatino Linotype" w:eastAsia="Garamond" w:hAnsi="Palatino Linotype"/>
          <w:i/>
          <w:color w:val="000000"/>
          <w:spacing w:val="7"/>
          <w:sz w:val="22"/>
          <w:szCs w:val="22"/>
          <w:lang w:val="fr-BE"/>
        </w:rPr>
        <w:t xml:space="preserve"> 12</w:t>
      </w:r>
      <w:r w:rsidRPr="00E45C22">
        <w:rPr>
          <w:rFonts w:ascii="Palatino Linotype" w:eastAsia="Garamond" w:hAnsi="Palatino Linotype"/>
          <w:i/>
          <w:color w:val="000000"/>
          <w:spacing w:val="7"/>
          <w:sz w:val="22"/>
          <w:szCs w:val="22"/>
          <w:lang w:val="fr-FR"/>
        </w:rPr>
        <w:t xml:space="preserve"> §</w:t>
      </w:r>
      <w:r w:rsidRPr="00E45C22">
        <w:rPr>
          <w:rFonts w:ascii="Palatino Linotype" w:eastAsia="Garamond" w:hAnsi="Palatino Linotype"/>
          <w:i/>
          <w:color w:val="000000"/>
          <w:spacing w:val="7"/>
          <w:sz w:val="22"/>
          <w:szCs w:val="22"/>
          <w:lang w:val="fr-BE"/>
        </w:rPr>
        <w:t xml:space="preserve"> 2 de la</w:t>
      </w:r>
      <w:r w:rsidRPr="00E45C22">
        <w:rPr>
          <w:rFonts w:ascii="Palatino Linotype" w:eastAsia="Garamond" w:hAnsi="Palatino Linotype"/>
          <w:i/>
          <w:color w:val="000000"/>
          <w:spacing w:val="7"/>
          <w:sz w:val="22"/>
          <w:szCs w:val="22"/>
          <w:lang w:val="fr-FR"/>
        </w:rPr>
        <w:t xml:space="preserve"> loi accueil</w:t>
      </w:r>
      <w:r w:rsidRPr="00E45C22">
        <w:rPr>
          <w:rFonts w:ascii="Palatino Linotype" w:eastAsia="Garamond" w:hAnsi="Palatino Linotype"/>
          <w:i/>
          <w:color w:val="000000"/>
          <w:spacing w:val="7"/>
          <w:sz w:val="22"/>
          <w:szCs w:val="22"/>
          <w:lang w:val="fr-BE"/>
        </w:rPr>
        <w:t xml:space="preserve"> du </w:t>
      </w:r>
      <w:r w:rsidRPr="00E45C22">
        <w:rPr>
          <w:rFonts w:ascii="Palatino Linotype" w:eastAsia="Garamond" w:hAnsi="Palatino Linotype"/>
          <w:i/>
          <w:color w:val="000000"/>
          <w:spacing w:val="7"/>
          <w:sz w:val="22"/>
          <w:szCs w:val="22"/>
          <w:lang w:val="fr-BE"/>
        </w:rPr>
        <w:lastRenderedPageBreak/>
        <w:t>12</w:t>
      </w:r>
      <w:r w:rsidR="00534735">
        <w:rPr>
          <w:rFonts w:ascii="Palatino Linotype" w:eastAsia="Garamond" w:hAnsi="Palatino Linotype"/>
          <w:i/>
          <w:color w:val="000000"/>
          <w:spacing w:val="7"/>
          <w:sz w:val="22"/>
          <w:szCs w:val="22"/>
          <w:lang w:val="fr-BE"/>
        </w:rPr>
        <w:t> </w:t>
      </w:r>
      <w:r w:rsidRPr="00E45C22">
        <w:rPr>
          <w:rFonts w:ascii="Palatino Linotype" w:eastAsia="Garamond" w:hAnsi="Palatino Linotype"/>
          <w:i/>
          <w:color w:val="000000"/>
          <w:spacing w:val="7"/>
          <w:sz w:val="22"/>
          <w:szCs w:val="22"/>
          <w:lang w:val="fr-FR"/>
        </w:rPr>
        <w:t>janvier</w:t>
      </w:r>
      <w:r w:rsidRPr="00E45C22">
        <w:rPr>
          <w:rFonts w:ascii="Palatino Linotype" w:eastAsia="Garamond" w:hAnsi="Palatino Linotype"/>
          <w:i/>
          <w:color w:val="000000"/>
          <w:spacing w:val="7"/>
          <w:sz w:val="22"/>
          <w:szCs w:val="22"/>
          <w:lang w:val="fr-BE"/>
        </w:rPr>
        <w:t xml:space="preserve"> 2007, et</w:t>
      </w:r>
      <w:r w:rsidRPr="00E45C22">
        <w:rPr>
          <w:rFonts w:ascii="Palatino Linotype" w:eastAsia="Garamond" w:hAnsi="Palatino Linotype"/>
          <w:i/>
          <w:color w:val="000000"/>
          <w:spacing w:val="7"/>
          <w:sz w:val="22"/>
          <w:szCs w:val="22"/>
          <w:lang w:val="fr-FR"/>
        </w:rPr>
        <w:t xml:space="preserve"> afin</w:t>
      </w:r>
      <w:r w:rsidRPr="00E45C22">
        <w:rPr>
          <w:rFonts w:ascii="Palatino Linotype" w:eastAsia="Garamond" w:hAnsi="Palatino Linotype"/>
          <w:i/>
          <w:color w:val="000000"/>
          <w:spacing w:val="7"/>
          <w:sz w:val="22"/>
          <w:szCs w:val="22"/>
          <w:lang w:val="fr-BE"/>
        </w:rPr>
        <w:t xml:space="preserve"> de</w:t>
      </w:r>
      <w:r w:rsidRPr="00E45C22">
        <w:rPr>
          <w:rFonts w:ascii="Palatino Linotype" w:eastAsia="Garamond" w:hAnsi="Palatino Linotype"/>
          <w:i/>
          <w:color w:val="000000"/>
          <w:spacing w:val="7"/>
          <w:sz w:val="22"/>
          <w:szCs w:val="22"/>
          <w:lang w:val="fr-FR"/>
        </w:rPr>
        <w:t xml:space="preserve"> vous permettre</w:t>
      </w:r>
      <w:r w:rsidRPr="00E45C22">
        <w:rPr>
          <w:rFonts w:ascii="Palatino Linotype" w:eastAsia="Garamond" w:hAnsi="Palatino Linotype"/>
          <w:i/>
          <w:color w:val="000000"/>
          <w:spacing w:val="7"/>
          <w:sz w:val="22"/>
          <w:szCs w:val="22"/>
          <w:lang w:val="fr-BE"/>
        </w:rPr>
        <w:t xml:space="preserve"> de</w:t>
      </w:r>
      <w:r w:rsidRPr="00E45C22">
        <w:rPr>
          <w:rFonts w:ascii="Palatino Linotype" w:eastAsia="Garamond" w:hAnsi="Palatino Linotype"/>
          <w:i/>
          <w:color w:val="000000"/>
          <w:spacing w:val="7"/>
          <w:sz w:val="22"/>
          <w:szCs w:val="22"/>
          <w:lang w:val="fr-FR"/>
        </w:rPr>
        <w:t xml:space="preserve"> bénéficier</w:t>
      </w:r>
      <w:r w:rsidRPr="00E45C22">
        <w:rPr>
          <w:rFonts w:ascii="Palatino Linotype" w:eastAsia="Garamond" w:hAnsi="Palatino Linotype"/>
          <w:i/>
          <w:color w:val="000000"/>
          <w:spacing w:val="7"/>
          <w:sz w:val="22"/>
          <w:szCs w:val="22"/>
          <w:lang w:val="fr-BE"/>
        </w:rPr>
        <w:t xml:space="preserve"> de</w:t>
      </w:r>
      <w:r w:rsidRPr="00E45C22">
        <w:rPr>
          <w:rFonts w:ascii="Palatino Linotype" w:eastAsia="Garamond" w:hAnsi="Palatino Linotype"/>
          <w:i/>
          <w:color w:val="000000"/>
          <w:spacing w:val="7"/>
          <w:sz w:val="22"/>
          <w:szCs w:val="22"/>
          <w:lang w:val="fr-FR"/>
        </w:rPr>
        <w:t xml:space="preserve"> l'accompagnement</w:t>
      </w:r>
      <w:r w:rsidRPr="00E45C22">
        <w:rPr>
          <w:rFonts w:ascii="Palatino Linotype" w:eastAsia="Garamond" w:hAnsi="Palatino Linotype"/>
          <w:i/>
          <w:color w:val="000000"/>
          <w:spacing w:val="7"/>
          <w:sz w:val="22"/>
          <w:szCs w:val="22"/>
          <w:lang w:val="fr-BE"/>
        </w:rPr>
        <w:t xml:space="preserve"> le plus</w:t>
      </w:r>
      <w:r w:rsidRPr="00E45C22">
        <w:rPr>
          <w:rFonts w:ascii="Palatino Linotype" w:eastAsia="Garamond" w:hAnsi="Palatino Linotype"/>
          <w:i/>
          <w:color w:val="000000"/>
          <w:spacing w:val="7"/>
          <w:sz w:val="22"/>
          <w:szCs w:val="22"/>
          <w:lang w:val="fr-FR"/>
        </w:rPr>
        <w:t xml:space="preserve"> adapté à votre état</w:t>
      </w:r>
      <w:r w:rsidRPr="00E45C22">
        <w:rPr>
          <w:rFonts w:ascii="Palatino Linotype" w:eastAsia="Garamond" w:hAnsi="Palatino Linotype"/>
          <w:i/>
          <w:color w:val="000000"/>
          <w:spacing w:val="7"/>
          <w:sz w:val="22"/>
          <w:szCs w:val="22"/>
          <w:lang w:val="fr-BE"/>
        </w:rPr>
        <w:t xml:space="preserve"> de</w:t>
      </w:r>
      <w:r w:rsidRPr="00E45C22">
        <w:rPr>
          <w:rFonts w:ascii="Palatino Linotype" w:eastAsia="Garamond" w:hAnsi="Palatino Linotype"/>
          <w:i/>
          <w:color w:val="000000"/>
          <w:spacing w:val="7"/>
          <w:sz w:val="22"/>
          <w:szCs w:val="22"/>
          <w:lang w:val="fr-FR"/>
        </w:rPr>
        <w:t xml:space="preserve"> procédure,</w:t>
      </w:r>
      <w:r w:rsidRPr="00E45C22">
        <w:rPr>
          <w:rFonts w:ascii="Palatino Linotype" w:eastAsia="Garamond" w:hAnsi="Palatino Linotype"/>
          <w:i/>
          <w:color w:val="000000"/>
          <w:spacing w:val="7"/>
          <w:sz w:val="22"/>
          <w:szCs w:val="22"/>
          <w:lang w:val="fr-BE"/>
        </w:rPr>
        <w:t xml:space="preserve"> la</w:t>
      </w:r>
      <w:r w:rsidRPr="00E45C22">
        <w:rPr>
          <w:rFonts w:ascii="Palatino Linotype" w:eastAsia="Garamond" w:hAnsi="Palatino Linotype"/>
          <w:i/>
          <w:color w:val="000000"/>
          <w:spacing w:val="7"/>
          <w:sz w:val="22"/>
          <w:szCs w:val="22"/>
          <w:lang w:val="fr-FR"/>
        </w:rPr>
        <w:t xml:space="preserve"> structure d'accueil suivante vous est désignée comme lieu obligatoire d'inscription : Place</w:t>
      </w:r>
      <w:r w:rsidRPr="00E45C22">
        <w:rPr>
          <w:rFonts w:ascii="Palatino Linotype" w:eastAsia="Garamond" w:hAnsi="Palatino Linotype"/>
          <w:i/>
          <w:color w:val="000000"/>
          <w:spacing w:val="7"/>
          <w:sz w:val="22"/>
          <w:szCs w:val="22"/>
          <w:lang w:val="fr-BE"/>
        </w:rPr>
        <w:t xml:space="preserve"> Dublin</w:t>
      </w:r>
      <w:r w:rsidRPr="00E45C22">
        <w:rPr>
          <w:rFonts w:ascii="Palatino Linotype" w:eastAsia="Garamond" w:hAnsi="Palatino Linotype"/>
          <w:i/>
          <w:color w:val="000000"/>
          <w:spacing w:val="7"/>
          <w:sz w:val="22"/>
          <w:szCs w:val="22"/>
          <w:lang w:val="fr-FR"/>
        </w:rPr>
        <w:t xml:space="preserve"> structure d'accueil</w:t>
      </w:r>
      <w:r w:rsidRPr="00E45C22">
        <w:rPr>
          <w:rFonts w:ascii="Palatino Linotype" w:eastAsia="Garamond" w:hAnsi="Palatino Linotype"/>
          <w:i/>
          <w:color w:val="000000"/>
          <w:spacing w:val="7"/>
          <w:sz w:val="22"/>
          <w:szCs w:val="22"/>
          <w:lang w:val="fr-BE"/>
        </w:rPr>
        <w:t xml:space="preserve"> de</w:t>
      </w:r>
      <w:r w:rsidRPr="00E45C22">
        <w:rPr>
          <w:rFonts w:ascii="Palatino Linotype" w:eastAsia="Garamond" w:hAnsi="Palatino Linotype"/>
          <w:i/>
          <w:color w:val="000000"/>
          <w:spacing w:val="7"/>
          <w:sz w:val="22"/>
          <w:szCs w:val="22"/>
          <w:lang w:val="fr-FR"/>
        </w:rPr>
        <w:t xml:space="preserve"> </w:t>
      </w:r>
      <w:proofErr w:type="spellStart"/>
      <w:r w:rsidRPr="00E45C22">
        <w:rPr>
          <w:rFonts w:ascii="Palatino Linotype" w:eastAsia="Garamond" w:hAnsi="Palatino Linotype"/>
          <w:i/>
          <w:color w:val="000000"/>
          <w:spacing w:val="7"/>
          <w:sz w:val="22"/>
          <w:szCs w:val="22"/>
          <w:lang w:val="fr-FR"/>
        </w:rPr>
        <w:t>Poelkapelle</w:t>
      </w:r>
      <w:proofErr w:type="spellEnd"/>
      <w:r w:rsidRPr="00E45C22">
        <w:rPr>
          <w:rFonts w:ascii="Palatino Linotype" w:eastAsia="Garamond" w:hAnsi="Palatino Linotype"/>
          <w:i/>
          <w:color w:val="000000"/>
          <w:spacing w:val="7"/>
          <w:sz w:val="22"/>
          <w:szCs w:val="22"/>
          <w:lang w:val="fr-FR"/>
        </w:rPr>
        <w:t>.</w:t>
      </w:r>
    </w:p>
    <w:p w:rsidR="00B55C05" w:rsidRPr="00E45C22" w:rsidRDefault="00B55C05" w:rsidP="00B55C05">
      <w:pPr>
        <w:spacing w:before="14"/>
        <w:ind w:left="289" w:right="144"/>
        <w:jc w:val="both"/>
        <w:textAlignment w:val="baseline"/>
        <w:rPr>
          <w:rFonts w:ascii="Palatino Linotype" w:eastAsia="Garamond" w:hAnsi="Palatino Linotype"/>
          <w:i/>
          <w:color w:val="000000"/>
          <w:spacing w:val="7"/>
          <w:sz w:val="22"/>
          <w:szCs w:val="22"/>
          <w:lang w:val="fr-BE"/>
        </w:rPr>
      </w:pPr>
    </w:p>
    <w:p w:rsidR="00B55C05" w:rsidRPr="00E45C22" w:rsidRDefault="00B55C05" w:rsidP="00B55C05">
      <w:pPr>
        <w:spacing w:before="6"/>
        <w:ind w:left="289" w:right="144"/>
        <w:jc w:val="both"/>
        <w:textAlignment w:val="baseline"/>
        <w:rPr>
          <w:rFonts w:ascii="Palatino Linotype" w:eastAsia="Garamond" w:hAnsi="Palatino Linotype"/>
          <w:i/>
          <w:color w:val="000000"/>
          <w:spacing w:val="8"/>
          <w:sz w:val="22"/>
          <w:szCs w:val="22"/>
          <w:lang w:val="fr-FR"/>
        </w:rPr>
      </w:pPr>
      <w:r w:rsidRPr="00E45C22">
        <w:rPr>
          <w:rFonts w:ascii="Palatino Linotype" w:eastAsia="Garamond" w:hAnsi="Palatino Linotype"/>
          <w:i/>
          <w:color w:val="000000"/>
          <w:spacing w:val="8"/>
          <w:sz w:val="22"/>
          <w:szCs w:val="22"/>
          <w:lang w:val="fr-FR"/>
        </w:rPr>
        <w:t>L'aide matérielle vous y</w:t>
      </w:r>
      <w:r w:rsidRPr="00E45C22">
        <w:rPr>
          <w:rFonts w:ascii="Palatino Linotype" w:eastAsia="Garamond" w:hAnsi="Palatino Linotype"/>
          <w:i/>
          <w:color w:val="000000"/>
          <w:spacing w:val="8"/>
          <w:sz w:val="22"/>
          <w:szCs w:val="22"/>
          <w:lang w:val="fr-BE"/>
        </w:rPr>
        <w:t xml:space="preserve"> sera</w:t>
      </w:r>
      <w:r w:rsidRPr="00E45C22">
        <w:rPr>
          <w:rFonts w:ascii="Palatino Linotype" w:eastAsia="Garamond" w:hAnsi="Palatino Linotype"/>
          <w:i/>
          <w:color w:val="000000"/>
          <w:spacing w:val="8"/>
          <w:sz w:val="22"/>
          <w:szCs w:val="22"/>
          <w:lang w:val="fr-FR"/>
        </w:rPr>
        <w:t xml:space="preserve"> octroyée soit jusqu'à votre éventuel transfert effectif vers l'état membre responsable ; soit jusqu'à ce que</w:t>
      </w:r>
      <w:r w:rsidRPr="00E45C22">
        <w:rPr>
          <w:rFonts w:ascii="Palatino Linotype" w:eastAsia="Garamond" w:hAnsi="Palatino Linotype"/>
          <w:i/>
          <w:color w:val="000000"/>
          <w:spacing w:val="8"/>
          <w:sz w:val="22"/>
          <w:szCs w:val="22"/>
          <w:lang w:val="fr-BE"/>
        </w:rPr>
        <w:t xml:space="preserve"> le</w:t>
      </w:r>
      <w:r w:rsidRPr="00E45C22">
        <w:rPr>
          <w:rFonts w:ascii="Palatino Linotype" w:eastAsia="Garamond" w:hAnsi="Palatino Linotype"/>
          <w:i/>
          <w:color w:val="000000"/>
          <w:spacing w:val="8"/>
          <w:sz w:val="22"/>
          <w:szCs w:val="22"/>
          <w:lang w:val="fr-FR"/>
        </w:rPr>
        <w:t xml:space="preserve"> conseil</w:t>
      </w:r>
      <w:r w:rsidRPr="00E45C22">
        <w:rPr>
          <w:rFonts w:ascii="Palatino Linotype" w:eastAsia="Garamond" w:hAnsi="Palatino Linotype"/>
          <w:i/>
          <w:color w:val="000000"/>
          <w:spacing w:val="8"/>
          <w:sz w:val="22"/>
          <w:szCs w:val="22"/>
          <w:lang w:val="fr-BE"/>
        </w:rPr>
        <w:t xml:space="preserve"> du</w:t>
      </w:r>
      <w:r w:rsidRPr="00E45C22">
        <w:rPr>
          <w:rFonts w:ascii="Palatino Linotype" w:eastAsia="Garamond" w:hAnsi="Palatino Linotype"/>
          <w:i/>
          <w:color w:val="000000"/>
          <w:spacing w:val="8"/>
          <w:sz w:val="22"/>
          <w:szCs w:val="22"/>
          <w:lang w:val="fr-FR"/>
        </w:rPr>
        <w:t xml:space="preserve"> contentieux</w:t>
      </w:r>
      <w:r w:rsidRPr="00E45C22">
        <w:rPr>
          <w:rFonts w:ascii="Palatino Linotype" w:eastAsia="Garamond" w:hAnsi="Palatino Linotype"/>
          <w:i/>
          <w:color w:val="000000"/>
          <w:spacing w:val="8"/>
          <w:sz w:val="22"/>
          <w:szCs w:val="22"/>
          <w:lang w:val="fr-BE"/>
        </w:rPr>
        <w:t xml:space="preserve"> des</w:t>
      </w:r>
      <w:r w:rsidRPr="00E45C22">
        <w:rPr>
          <w:rFonts w:ascii="Palatino Linotype" w:eastAsia="Garamond" w:hAnsi="Palatino Linotype"/>
          <w:i/>
          <w:color w:val="000000"/>
          <w:spacing w:val="8"/>
          <w:sz w:val="22"/>
          <w:szCs w:val="22"/>
          <w:lang w:val="fr-FR"/>
        </w:rPr>
        <w:t xml:space="preserve"> étrangers annule</w:t>
      </w:r>
      <w:r w:rsidRPr="00E45C22">
        <w:rPr>
          <w:rFonts w:ascii="Palatino Linotype" w:eastAsia="Garamond" w:hAnsi="Palatino Linotype"/>
          <w:i/>
          <w:color w:val="000000"/>
          <w:spacing w:val="8"/>
          <w:sz w:val="22"/>
          <w:szCs w:val="22"/>
          <w:lang w:val="fr-BE"/>
        </w:rPr>
        <w:t xml:space="preserve"> la</w:t>
      </w:r>
      <w:r w:rsidRPr="00E45C22">
        <w:rPr>
          <w:rFonts w:ascii="Palatino Linotype" w:eastAsia="Garamond" w:hAnsi="Palatino Linotype"/>
          <w:i/>
          <w:color w:val="000000"/>
          <w:spacing w:val="8"/>
          <w:sz w:val="22"/>
          <w:szCs w:val="22"/>
          <w:lang w:val="fr-FR"/>
        </w:rPr>
        <w:t xml:space="preserve"> décision</w:t>
      </w:r>
      <w:r w:rsidRPr="00E45C22">
        <w:rPr>
          <w:rFonts w:ascii="Palatino Linotype" w:eastAsia="Garamond" w:hAnsi="Palatino Linotype"/>
          <w:i/>
          <w:color w:val="000000"/>
          <w:spacing w:val="8"/>
          <w:sz w:val="22"/>
          <w:szCs w:val="22"/>
          <w:lang w:val="fr-BE"/>
        </w:rPr>
        <w:t xml:space="preserve"> de</w:t>
      </w:r>
      <w:r w:rsidRPr="00E45C22">
        <w:rPr>
          <w:rFonts w:ascii="Palatino Linotype" w:eastAsia="Garamond" w:hAnsi="Palatino Linotype"/>
          <w:i/>
          <w:color w:val="000000"/>
          <w:spacing w:val="8"/>
          <w:sz w:val="22"/>
          <w:szCs w:val="22"/>
          <w:lang w:val="fr-FR"/>
        </w:rPr>
        <w:t xml:space="preserve"> l'office</w:t>
      </w:r>
      <w:r w:rsidRPr="00E45C22">
        <w:rPr>
          <w:rFonts w:ascii="Palatino Linotype" w:eastAsia="Garamond" w:hAnsi="Palatino Linotype"/>
          <w:i/>
          <w:color w:val="000000"/>
          <w:spacing w:val="8"/>
          <w:sz w:val="22"/>
          <w:szCs w:val="22"/>
          <w:lang w:val="fr-BE"/>
        </w:rPr>
        <w:t xml:space="preserve"> des</w:t>
      </w:r>
      <w:r w:rsidRPr="00E45C22">
        <w:rPr>
          <w:rFonts w:ascii="Palatino Linotype" w:eastAsia="Garamond" w:hAnsi="Palatino Linotype"/>
          <w:i/>
          <w:color w:val="000000"/>
          <w:spacing w:val="8"/>
          <w:sz w:val="22"/>
          <w:szCs w:val="22"/>
          <w:lang w:val="fr-FR"/>
        </w:rPr>
        <w:t xml:space="preserve"> étrangers, soit jusqu'à ce que</w:t>
      </w:r>
      <w:r w:rsidRPr="00E45C22">
        <w:rPr>
          <w:rFonts w:ascii="Palatino Linotype" w:eastAsia="Garamond" w:hAnsi="Palatino Linotype"/>
          <w:i/>
          <w:color w:val="000000"/>
          <w:spacing w:val="8"/>
          <w:sz w:val="22"/>
          <w:szCs w:val="22"/>
          <w:lang w:val="fr-BE"/>
        </w:rPr>
        <w:t xml:space="preserve"> la</w:t>
      </w:r>
      <w:r w:rsidRPr="00E45C22">
        <w:rPr>
          <w:rFonts w:ascii="Palatino Linotype" w:eastAsia="Garamond" w:hAnsi="Palatino Linotype"/>
          <w:i/>
          <w:color w:val="000000"/>
          <w:spacing w:val="8"/>
          <w:sz w:val="22"/>
          <w:szCs w:val="22"/>
          <w:lang w:val="fr-FR"/>
        </w:rPr>
        <w:t xml:space="preserve"> Belgique devienne responsable</w:t>
      </w:r>
      <w:r w:rsidRPr="00E45C22">
        <w:rPr>
          <w:rFonts w:ascii="Palatino Linotype" w:eastAsia="Garamond" w:hAnsi="Palatino Linotype"/>
          <w:i/>
          <w:color w:val="000000"/>
          <w:spacing w:val="8"/>
          <w:sz w:val="22"/>
          <w:szCs w:val="22"/>
          <w:lang w:val="fr-BE"/>
        </w:rPr>
        <w:t xml:space="preserve"> du</w:t>
      </w:r>
      <w:r w:rsidRPr="00E45C22">
        <w:rPr>
          <w:rFonts w:ascii="Palatino Linotype" w:eastAsia="Garamond" w:hAnsi="Palatino Linotype"/>
          <w:i/>
          <w:color w:val="000000"/>
          <w:spacing w:val="8"/>
          <w:sz w:val="22"/>
          <w:szCs w:val="22"/>
          <w:lang w:val="fr-FR"/>
        </w:rPr>
        <w:t xml:space="preserve"> traitement</w:t>
      </w:r>
      <w:r w:rsidRPr="00E45C22">
        <w:rPr>
          <w:rFonts w:ascii="Palatino Linotype" w:eastAsia="Garamond" w:hAnsi="Palatino Linotype"/>
          <w:i/>
          <w:color w:val="000000"/>
          <w:spacing w:val="8"/>
          <w:sz w:val="22"/>
          <w:szCs w:val="22"/>
          <w:lang w:val="fr-BE"/>
        </w:rPr>
        <w:t xml:space="preserve"> de</w:t>
      </w:r>
      <w:r w:rsidRPr="00E45C22">
        <w:rPr>
          <w:rFonts w:ascii="Palatino Linotype" w:eastAsia="Garamond" w:hAnsi="Palatino Linotype"/>
          <w:i/>
          <w:color w:val="000000"/>
          <w:spacing w:val="8"/>
          <w:sz w:val="22"/>
          <w:szCs w:val="22"/>
          <w:lang w:val="fr-FR"/>
        </w:rPr>
        <w:t xml:space="preserve"> votre demande</w:t>
      </w:r>
      <w:r w:rsidRPr="00E45C22">
        <w:rPr>
          <w:rFonts w:ascii="Palatino Linotype" w:eastAsia="Garamond" w:hAnsi="Palatino Linotype"/>
          <w:i/>
          <w:color w:val="000000"/>
          <w:spacing w:val="8"/>
          <w:sz w:val="22"/>
          <w:szCs w:val="22"/>
          <w:lang w:val="fr-BE"/>
        </w:rPr>
        <w:t xml:space="preserve"> de</w:t>
      </w:r>
      <w:r w:rsidRPr="00E45C22">
        <w:rPr>
          <w:rFonts w:ascii="Palatino Linotype" w:eastAsia="Garamond" w:hAnsi="Palatino Linotype"/>
          <w:i/>
          <w:color w:val="000000"/>
          <w:spacing w:val="8"/>
          <w:sz w:val="22"/>
          <w:szCs w:val="22"/>
          <w:lang w:val="fr-FR"/>
        </w:rPr>
        <w:t xml:space="preserve"> protection internationale...</w:t>
      </w:r>
    </w:p>
    <w:p w:rsidR="00B55C05" w:rsidRPr="00E45C22" w:rsidRDefault="00B55C05" w:rsidP="00B55C05">
      <w:pPr>
        <w:spacing w:before="6"/>
        <w:ind w:left="289" w:right="144"/>
        <w:jc w:val="both"/>
        <w:textAlignment w:val="baseline"/>
        <w:rPr>
          <w:rFonts w:ascii="Palatino Linotype" w:eastAsia="Garamond" w:hAnsi="Palatino Linotype"/>
          <w:i/>
          <w:color w:val="000000"/>
          <w:spacing w:val="8"/>
          <w:sz w:val="22"/>
          <w:szCs w:val="22"/>
          <w:lang w:val="fr-FR"/>
        </w:rPr>
      </w:pPr>
    </w:p>
    <w:p w:rsidR="00B55C05" w:rsidRPr="00E45C22" w:rsidRDefault="00B55C05" w:rsidP="00B55C05">
      <w:pPr>
        <w:spacing w:before="9"/>
        <w:ind w:left="289" w:right="144"/>
        <w:jc w:val="both"/>
        <w:textAlignment w:val="baseline"/>
        <w:rPr>
          <w:rFonts w:ascii="Palatino Linotype" w:eastAsia="Garamond" w:hAnsi="Palatino Linotype"/>
          <w:i/>
          <w:color w:val="000000"/>
          <w:spacing w:val="9"/>
          <w:sz w:val="22"/>
          <w:szCs w:val="22"/>
          <w:lang w:val="fr-FR"/>
        </w:rPr>
      </w:pPr>
      <w:r w:rsidRPr="00E45C22">
        <w:rPr>
          <w:rFonts w:ascii="Palatino Linotype" w:eastAsia="Garamond" w:hAnsi="Palatino Linotype"/>
          <w:i/>
          <w:color w:val="000000"/>
          <w:spacing w:val="9"/>
          <w:sz w:val="22"/>
          <w:szCs w:val="22"/>
          <w:lang w:val="fr-FR"/>
        </w:rPr>
        <w:t>Un</w:t>
      </w:r>
      <w:r w:rsidRPr="00E45C22">
        <w:rPr>
          <w:rFonts w:ascii="Palatino Linotype" w:eastAsia="Garamond" w:hAnsi="Palatino Linotype"/>
          <w:i/>
          <w:color w:val="000000"/>
          <w:spacing w:val="9"/>
          <w:sz w:val="22"/>
          <w:szCs w:val="22"/>
          <w:lang w:val="fr-BE"/>
        </w:rPr>
        <w:t xml:space="preserve"> code</w:t>
      </w:r>
      <w:r w:rsidRPr="00E45C22">
        <w:rPr>
          <w:rFonts w:ascii="Palatino Linotype" w:eastAsia="Garamond" w:hAnsi="Palatino Linotype"/>
          <w:i/>
          <w:color w:val="000000"/>
          <w:spacing w:val="9"/>
          <w:sz w:val="22"/>
          <w:szCs w:val="22"/>
          <w:lang w:val="fr-FR"/>
        </w:rPr>
        <w:t xml:space="preserve"> FEDASIL</w:t>
      </w:r>
      <w:r w:rsidRPr="00E45C22">
        <w:rPr>
          <w:rFonts w:ascii="Palatino Linotype" w:eastAsia="Garamond" w:hAnsi="Palatino Linotype"/>
          <w:i/>
          <w:color w:val="000000"/>
          <w:spacing w:val="9"/>
          <w:sz w:val="22"/>
          <w:szCs w:val="22"/>
          <w:lang w:val="fr-BE"/>
        </w:rPr>
        <w:t xml:space="preserve"> no show</w:t>
      </w:r>
      <w:r w:rsidRPr="00E45C22">
        <w:rPr>
          <w:rFonts w:ascii="Palatino Linotype" w:eastAsia="Garamond" w:hAnsi="Palatino Linotype"/>
          <w:i/>
          <w:color w:val="000000"/>
          <w:spacing w:val="9"/>
          <w:sz w:val="22"/>
          <w:szCs w:val="22"/>
          <w:lang w:val="fr-FR"/>
        </w:rPr>
        <w:t xml:space="preserve"> vous</w:t>
      </w:r>
      <w:r w:rsidRPr="00E45C22">
        <w:rPr>
          <w:rFonts w:ascii="Palatino Linotype" w:eastAsia="Garamond" w:hAnsi="Palatino Linotype"/>
          <w:i/>
          <w:color w:val="000000"/>
          <w:spacing w:val="9"/>
          <w:sz w:val="22"/>
          <w:szCs w:val="22"/>
          <w:lang w:val="fr-BE"/>
        </w:rPr>
        <w:t xml:space="preserve"> sera</w:t>
      </w:r>
      <w:r w:rsidRPr="00E45C22">
        <w:rPr>
          <w:rFonts w:ascii="Palatino Linotype" w:eastAsia="Garamond" w:hAnsi="Palatino Linotype"/>
          <w:i/>
          <w:color w:val="000000"/>
          <w:spacing w:val="9"/>
          <w:sz w:val="22"/>
          <w:szCs w:val="22"/>
          <w:lang w:val="fr-FR"/>
        </w:rPr>
        <w:t xml:space="preserve"> désigné comme lieu obligatoire d'inscription si vous ne vous rendez</w:t>
      </w:r>
      <w:r w:rsidRPr="00E45C22">
        <w:rPr>
          <w:rFonts w:ascii="Palatino Linotype" w:eastAsia="Garamond" w:hAnsi="Palatino Linotype"/>
          <w:i/>
          <w:color w:val="000000"/>
          <w:spacing w:val="9"/>
          <w:sz w:val="22"/>
          <w:szCs w:val="22"/>
          <w:lang w:val="fr-BE"/>
        </w:rPr>
        <w:t xml:space="preserve"> pas</w:t>
      </w:r>
      <w:r w:rsidRPr="00E45C22">
        <w:rPr>
          <w:rFonts w:ascii="Palatino Linotype" w:eastAsia="Garamond" w:hAnsi="Palatino Linotype"/>
          <w:i/>
          <w:color w:val="000000"/>
          <w:spacing w:val="9"/>
          <w:sz w:val="22"/>
          <w:szCs w:val="22"/>
          <w:lang w:val="fr-FR"/>
        </w:rPr>
        <w:t xml:space="preserve"> dans</w:t>
      </w:r>
      <w:r w:rsidRPr="00E45C22">
        <w:rPr>
          <w:rFonts w:ascii="Palatino Linotype" w:eastAsia="Garamond" w:hAnsi="Palatino Linotype"/>
          <w:i/>
          <w:color w:val="000000"/>
          <w:spacing w:val="9"/>
          <w:sz w:val="22"/>
          <w:szCs w:val="22"/>
          <w:lang w:val="fr-BE"/>
        </w:rPr>
        <w:t xml:space="preserve"> la</w:t>
      </w:r>
      <w:r w:rsidRPr="00E45C22">
        <w:rPr>
          <w:rFonts w:ascii="Palatino Linotype" w:eastAsia="Garamond" w:hAnsi="Palatino Linotype"/>
          <w:i/>
          <w:color w:val="000000"/>
          <w:spacing w:val="9"/>
          <w:sz w:val="22"/>
          <w:szCs w:val="22"/>
          <w:lang w:val="fr-FR"/>
        </w:rPr>
        <w:t xml:space="preserve"> structure d'accueil endéans les cinq jours ouvrables</w:t>
      </w:r>
      <w:r w:rsidRPr="00E45C22">
        <w:rPr>
          <w:rFonts w:ascii="Palatino Linotype" w:eastAsia="Garamond" w:hAnsi="Palatino Linotype"/>
          <w:i/>
          <w:color w:val="000000"/>
          <w:spacing w:val="9"/>
          <w:sz w:val="22"/>
          <w:szCs w:val="22"/>
          <w:lang w:val="fr-BE"/>
        </w:rPr>
        <w:t xml:space="preserve"> de la</w:t>
      </w:r>
      <w:r w:rsidRPr="00E45C22">
        <w:rPr>
          <w:rFonts w:ascii="Palatino Linotype" w:eastAsia="Garamond" w:hAnsi="Palatino Linotype"/>
          <w:i/>
          <w:color w:val="000000"/>
          <w:spacing w:val="9"/>
          <w:sz w:val="22"/>
          <w:szCs w:val="22"/>
          <w:lang w:val="fr-FR"/>
        </w:rPr>
        <w:t xml:space="preserve"> présente désignation..... »</w:t>
      </w:r>
    </w:p>
    <w:p w:rsidR="00B55C05" w:rsidRDefault="00B55C05" w:rsidP="00B55C05">
      <w:pPr>
        <w:textAlignment w:val="baseline"/>
        <w:rPr>
          <w:rFonts w:ascii="Palatino Linotype" w:hAnsi="Palatino Linotype" w:cstheme="minorHAnsi"/>
          <w:sz w:val="22"/>
          <w:szCs w:val="22"/>
          <w:lang w:val="fr-BE"/>
        </w:rPr>
      </w:pPr>
    </w:p>
    <w:p w:rsidR="00B55C05" w:rsidRDefault="00B55C05" w:rsidP="00B55C05">
      <w:pPr>
        <w:textAlignment w:val="baseline"/>
        <w:rPr>
          <w:rFonts w:ascii="Palatino Linotype" w:hAnsi="Palatino Linotype" w:cstheme="minorHAnsi"/>
          <w:sz w:val="22"/>
          <w:szCs w:val="22"/>
          <w:lang w:val="fr-BE"/>
        </w:rPr>
      </w:pPr>
      <w:r w:rsidRPr="00B55C05">
        <w:rPr>
          <w:rFonts w:ascii="Palatino Linotype" w:hAnsi="Palatino Linotype" w:cstheme="minorHAnsi"/>
          <w:sz w:val="22"/>
          <w:szCs w:val="22"/>
          <w:lang w:val="fr-BE"/>
        </w:rPr>
        <w:t xml:space="preserve">Il s'agit de la décision litigieuse ; </w:t>
      </w:r>
    </w:p>
    <w:p w:rsidR="008D3993" w:rsidRPr="008D3993" w:rsidRDefault="00F65952" w:rsidP="008D3993">
      <w:pPr>
        <w:spacing w:before="324" w:line="274" w:lineRule="exact"/>
        <w:jc w:val="both"/>
        <w:textAlignment w:val="baseline"/>
        <w:rPr>
          <w:rFonts w:ascii="Palatino Linotype" w:hAnsi="Palatino Linotype" w:cstheme="minorHAnsi"/>
          <w:sz w:val="22"/>
          <w:szCs w:val="22"/>
          <w:lang w:val="fr-BE"/>
        </w:rPr>
      </w:pPr>
      <w:r>
        <w:rPr>
          <w:rFonts w:ascii="Palatino Linotype" w:hAnsi="Palatino Linotype" w:cstheme="minorHAnsi"/>
          <w:sz w:val="22"/>
          <w:szCs w:val="22"/>
          <w:lang w:val="fr-BE"/>
        </w:rPr>
        <w:t>Par ordonnance du 21/01/20</w:t>
      </w:r>
      <w:r w:rsidR="00344779">
        <w:rPr>
          <w:rFonts w:ascii="Palatino Linotype" w:hAnsi="Palatino Linotype" w:cstheme="minorHAnsi"/>
          <w:sz w:val="22"/>
          <w:szCs w:val="22"/>
          <w:lang w:val="fr-BE"/>
        </w:rPr>
        <w:t>22, l</w:t>
      </w:r>
      <w:r>
        <w:rPr>
          <w:rFonts w:ascii="Palatino Linotype" w:hAnsi="Palatino Linotype" w:cstheme="minorHAnsi"/>
          <w:sz w:val="22"/>
          <w:szCs w:val="22"/>
          <w:lang w:val="fr-BE"/>
        </w:rPr>
        <w:t>e P</w:t>
      </w:r>
      <w:r w:rsidR="008D3993" w:rsidRPr="008D3993">
        <w:rPr>
          <w:rFonts w:ascii="Palatino Linotype" w:hAnsi="Palatino Linotype" w:cstheme="minorHAnsi"/>
          <w:sz w:val="22"/>
          <w:szCs w:val="22"/>
          <w:lang w:val="fr-BE"/>
        </w:rPr>
        <w:t xml:space="preserve">résident de Division du Tribunal du Travail de Liège fait droit à la demande, et suspend les effets de cette décision jusqu’à l’intervention du juge du fond </w:t>
      </w:r>
      <w:r>
        <w:rPr>
          <w:rFonts w:ascii="Palatino Linotype" w:hAnsi="Palatino Linotype" w:cstheme="minorHAnsi"/>
          <w:sz w:val="22"/>
          <w:szCs w:val="22"/>
          <w:lang w:val="fr-BE"/>
        </w:rPr>
        <w:t>(</w:t>
      </w:r>
      <w:r w:rsidR="008D3993" w:rsidRPr="008D3993">
        <w:rPr>
          <w:rFonts w:ascii="Palatino Linotype" w:hAnsi="Palatino Linotype" w:cstheme="minorHAnsi"/>
          <w:sz w:val="22"/>
          <w:szCs w:val="22"/>
          <w:lang w:val="fr-BE"/>
        </w:rPr>
        <w:t>sous peine d’une astreinte de 100 €/jour, et en octroyant l’assistance judiciaire).</w:t>
      </w:r>
    </w:p>
    <w:p w:rsidR="008D3993" w:rsidRDefault="008D3993" w:rsidP="008D3993">
      <w:pPr>
        <w:spacing w:before="324" w:line="274" w:lineRule="exact"/>
        <w:textAlignment w:val="baseline"/>
        <w:rPr>
          <w:rFonts w:ascii="Palatino Linotype" w:hAnsi="Palatino Linotype" w:cstheme="minorHAnsi"/>
          <w:sz w:val="22"/>
          <w:szCs w:val="22"/>
          <w:lang w:val="fr-BE"/>
        </w:rPr>
      </w:pPr>
      <w:r>
        <w:rPr>
          <w:rFonts w:ascii="Palatino Linotype" w:hAnsi="Palatino Linotype" w:cstheme="minorHAnsi"/>
          <w:sz w:val="22"/>
          <w:szCs w:val="22"/>
          <w:lang w:val="fr-BE"/>
        </w:rPr>
        <w:t xml:space="preserve">La tierce opposition de </w:t>
      </w:r>
      <w:r w:rsidR="00E45C22">
        <w:rPr>
          <w:rFonts w:ascii="Palatino Linotype" w:hAnsi="Palatino Linotype" w:cstheme="minorHAnsi"/>
          <w:sz w:val="22"/>
          <w:szCs w:val="22"/>
          <w:lang w:val="fr-BE"/>
        </w:rPr>
        <w:t>FE</w:t>
      </w:r>
      <w:r w:rsidR="00E45C22" w:rsidRPr="008D3993">
        <w:rPr>
          <w:rFonts w:ascii="Palatino Linotype" w:hAnsi="Palatino Linotype" w:cstheme="minorHAnsi"/>
          <w:sz w:val="22"/>
          <w:szCs w:val="22"/>
          <w:lang w:val="fr-BE"/>
        </w:rPr>
        <w:t xml:space="preserve">DASIL </w:t>
      </w:r>
      <w:r w:rsidRPr="008D3993">
        <w:rPr>
          <w:rFonts w:ascii="Palatino Linotype" w:hAnsi="Palatino Linotype" w:cstheme="minorHAnsi"/>
          <w:sz w:val="22"/>
          <w:szCs w:val="22"/>
          <w:lang w:val="fr-BE"/>
        </w:rPr>
        <w:t>a été fixée à l’audience des</w:t>
      </w:r>
      <w:r>
        <w:rPr>
          <w:rFonts w:ascii="Palatino Linotype" w:hAnsi="Palatino Linotype" w:cstheme="minorHAnsi"/>
          <w:sz w:val="22"/>
          <w:szCs w:val="22"/>
          <w:lang w:val="fr-BE"/>
        </w:rPr>
        <w:t xml:space="preserve"> référés du </w:t>
      </w:r>
      <w:r w:rsidR="00F65952">
        <w:rPr>
          <w:rFonts w:ascii="Palatino Linotype" w:hAnsi="Palatino Linotype" w:cstheme="minorHAnsi"/>
          <w:sz w:val="22"/>
          <w:szCs w:val="22"/>
          <w:lang w:val="fr-BE"/>
        </w:rPr>
        <w:t>15/03/</w:t>
      </w:r>
      <w:r w:rsidRPr="008D3993">
        <w:rPr>
          <w:rFonts w:ascii="Palatino Linotype" w:hAnsi="Palatino Linotype" w:cstheme="minorHAnsi"/>
          <w:sz w:val="22"/>
          <w:szCs w:val="22"/>
          <w:lang w:val="fr-BE"/>
        </w:rPr>
        <w:t>2022.</w:t>
      </w:r>
    </w:p>
    <w:p w:rsidR="00E45C22" w:rsidRDefault="00E45C22" w:rsidP="00344779">
      <w:pPr>
        <w:jc w:val="both"/>
        <w:textAlignment w:val="baseline"/>
        <w:rPr>
          <w:rFonts w:ascii="Palatino Linotype" w:hAnsi="Palatino Linotype" w:cstheme="minorHAnsi"/>
          <w:sz w:val="22"/>
          <w:szCs w:val="22"/>
          <w:lang w:val="fr-BE"/>
        </w:rPr>
      </w:pPr>
    </w:p>
    <w:p w:rsidR="008D3993" w:rsidRDefault="008D3993" w:rsidP="00344779">
      <w:pPr>
        <w:jc w:val="both"/>
        <w:textAlignment w:val="baseline"/>
        <w:rPr>
          <w:rFonts w:ascii="Palatino Linotype" w:hAnsi="Palatino Linotype" w:cstheme="minorHAnsi"/>
          <w:sz w:val="22"/>
          <w:szCs w:val="22"/>
          <w:lang w:val="fr-BE"/>
        </w:rPr>
      </w:pPr>
      <w:r w:rsidRPr="008D3993">
        <w:rPr>
          <w:rFonts w:ascii="Palatino Linotype" w:hAnsi="Palatino Linotype" w:cstheme="minorHAnsi"/>
          <w:sz w:val="22"/>
          <w:szCs w:val="22"/>
          <w:lang w:val="fr-BE"/>
        </w:rPr>
        <w:t>Suite à cette audience contradictoire, le Tribunal a ordonné la réouverture des débats et a posé les question</w:t>
      </w:r>
      <w:r w:rsidR="00344779">
        <w:rPr>
          <w:rFonts w:ascii="Palatino Linotype" w:hAnsi="Palatino Linotype" w:cstheme="minorHAnsi"/>
          <w:sz w:val="22"/>
          <w:szCs w:val="22"/>
          <w:lang w:val="fr-BE"/>
        </w:rPr>
        <w:t>s</w:t>
      </w:r>
      <w:r w:rsidRPr="008D3993">
        <w:rPr>
          <w:rFonts w:ascii="Palatino Linotype" w:hAnsi="Palatino Linotype" w:cstheme="minorHAnsi"/>
          <w:sz w:val="22"/>
          <w:szCs w:val="22"/>
          <w:lang w:val="fr-BE"/>
        </w:rPr>
        <w:t xml:space="preserve"> suivantes aux parties : </w:t>
      </w:r>
    </w:p>
    <w:p w:rsidR="00344779" w:rsidRPr="008D3993" w:rsidRDefault="00344779" w:rsidP="00344779">
      <w:pPr>
        <w:textAlignment w:val="baseline"/>
        <w:rPr>
          <w:rFonts w:ascii="Palatino Linotype" w:hAnsi="Palatino Linotype" w:cstheme="minorHAnsi"/>
          <w:sz w:val="22"/>
          <w:szCs w:val="22"/>
          <w:lang w:val="fr-BE"/>
        </w:rPr>
      </w:pPr>
    </w:p>
    <w:p w:rsidR="008D3993" w:rsidRPr="00B94AE0" w:rsidRDefault="008D3993" w:rsidP="00344779">
      <w:pPr>
        <w:pStyle w:val="Paragraphedeliste"/>
        <w:numPr>
          <w:ilvl w:val="0"/>
          <w:numId w:val="27"/>
        </w:numPr>
        <w:ind w:left="426"/>
        <w:jc w:val="both"/>
        <w:rPr>
          <w:rFonts w:ascii="Palatino Linotype" w:hAnsi="Palatino Linotype" w:cstheme="minorHAnsi"/>
          <w:i/>
          <w:color w:val="000000"/>
          <w:sz w:val="22"/>
          <w:lang w:val="fr-BE"/>
        </w:rPr>
      </w:pPr>
      <w:r w:rsidRPr="00B94AE0">
        <w:rPr>
          <w:rFonts w:ascii="Palatino Linotype" w:hAnsi="Palatino Linotype" w:cstheme="minorHAnsi"/>
          <w:i/>
          <w:color w:val="000000"/>
          <w:sz w:val="22"/>
          <w:lang w:val="fr-BE"/>
        </w:rPr>
        <w:t xml:space="preserve">Quelle est l’assise légale autorisant </w:t>
      </w:r>
      <w:r w:rsidR="00E45C22" w:rsidRPr="00B94AE0">
        <w:rPr>
          <w:rFonts w:ascii="Palatino Linotype" w:hAnsi="Palatino Linotype" w:cstheme="minorHAnsi"/>
          <w:i/>
          <w:color w:val="000000"/>
          <w:sz w:val="22"/>
          <w:lang w:val="fr-BE"/>
        </w:rPr>
        <w:t xml:space="preserve">FEDASIL </w:t>
      </w:r>
      <w:r w:rsidRPr="00B94AE0">
        <w:rPr>
          <w:rFonts w:ascii="Palatino Linotype" w:hAnsi="Palatino Linotype" w:cstheme="minorHAnsi"/>
          <w:i/>
          <w:color w:val="000000"/>
          <w:sz w:val="22"/>
          <w:lang w:val="fr-BE"/>
        </w:rPr>
        <w:t>à devoir (ou à pouvoir) mettre en balance ses missions premières d’institution de sécurité sociale ( soit l’accueil des demandeurs de protection internationale) avec la collaboration proactive vis à vis l’Office des Etrangers dans les missions spécifiques de ce dernier, dans le cadre spécifique de l’application du règlement UE 604/2013 ?</w:t>
      </w:r>
    </w:p>
    <w:p w:rsidR="008D3993" w:rsidRPr="00B94AE0" w:rsidRDefault="008D3993" w:rsidP="008D3993">
      <w:pPr>
        <w:pStyle w:val="Paragraphedeliste"/>
        <w:numPr>
          <w:ilvl w:val="0"/>
          <w:numId w:val="27"/>
        </w:numPr>
        <w:spacing w:after="160" w:line="259" w:lineRule="auto"/>
        <w:ind w:left="426"/>
        <w:jc w:val="both"/>
        <w:rPr>
          <w:rFonts w:ascii="Palatino Linotype" w:hAnsi="Palatino Linotype" w:cstheme="minorHAnsi"/>
          <w:i/>
          <w:color w:val="000000"/>
          <w:sz w:val="22"/>
          <w:lang w:val="fr-BE"/>
        </w:rPr>
      </w:pPr>
      <w:r w:rsidRPr="00B94AE0">
        <w:rPr>
          <w:rFonts w:ascii="Palatino Linotype" w:hAnsi="Palatino Linotype" w:cstheme="minorHAnsi"/>
          <w:i/>
          <w:color w:val="000000"/>
          <w:sz w:val="22"/>
          <w:lang w:val="fr-BE"/>
        </w:rPr>
        <w:t xml:space="preserve">Quelle est l’assise légale éventuelle, à l’éventuelle « certaine pression » reconnue par </w:t>
      </w:r>
      <w:r w:rsidR="00E45C22" w:rsidRPr="00B94AE0">
        <w:rPr>
          <w:rFonts w:ascii="Palatino Linotype" w:hAnsi="Palatino Linotype" w:cstheme="minorHAnsi"/>
          <w:i/>
          <w:color w:val="000000"/>
          <w:sz w:val="22"/>
          <w:lang w:val="fr-BE"/>
        </w:rPr>
        <w:t xml:space="preserve">FEDASIL </w:t>
      </w:r>
      <w:r w:rsidRPr="00B94AE0">
        <w:rPr>
          <w:rFonts w:ascii="Palatino Linotype" w:hAnsi="Palatino Linotype" w:cstheme="minorHAnsi"/>
          <w:i/>
          <w:color w:val="000000"/>
          <w:sz w:val="22"/>
          <w:lang w:val="fr-BE"/>
        </w:rPr>
        <w:t>devant La Cour de justice de l’Union Européenne ?</w:t>
      </w:r>
    </w:p>
    <w:p w:rsidR="008D3993" w:rsidRPr="00B94AE0" w:rsidRDefault="008D3993" w:rsidP="008D3993">
      <w:pPr>
        <w:pStyle w:val="Paragraphedeliste"/>
        <w:numPr>
          <w:ilvl w:val="0"/>
          <w:numId w:val="27"/>
        </w:numPr>
        <w:spacing w:after="160" w:line="259" w:lineRule="auto"/>
        <w:ind w:left="426"/>
        <w:jc w:val="both"/>
        <w:rPr>
          <w:rFonts w:ascii="Palatino Linotype" w:hAnsi="Palatino Linotype" w:cstheme="minorHAnsi"/>
          <w:i/>
          <w:color w:val="000000"/>
          <w:sz w:val="22"/>
          <w:lang w:val="fr-BE"/>
        </w:rPr>
      </w:pPr>
      <w:r w:rsidRPr="00B94AE0">
        <w:rPr>
          <w:rFonts w:ascii="Palatino Linotype" w:hAnsi="Palatino Linotype" w:cstheme="minorHAnsi"/>
          <w:i/>
          <w:color w:val="000000"/>
          <w:sz w:val="22"/>
          <w:lang w:val="fr-BE"/>
        </w:rPr>
        <w:t>En cas d’assise légale suffisante, il appartiendra alors à FEDASIL de débattre contradictoirement avec la partie défenderesse de la nature précise de la « pression » éventuelle, afin que le tribunal puisse statuer avec suffisamment d’éléments à sa disposition sur le bien-fondé de la tierce-opposition.</w:t>
      </w:r>
    </w:p>
    <w:p w:rsidR="008D3993" w:rsidRPr="00B94AE0" w:rsidRDefault="008D3993" w:rsidP="00344779">
      <w:pPr>
        <w:pStyle w:val="Paragraphedeliste"/>
        <w:numPr>
          <w:ilvl w:val="0"/>
          <w:numId w:val="27"/>
        </w:numPr>
        <w:ind w:left="426"/>
        <w:jc w:val="both"/>
        <w:rPr>
          <w:rFonts w:ascii="Palatino Linotype" w:hAnsi="Palatino Linotype" w:cstheme="minorHAnsi"/>
          <w:i/>
          <w:color w:val="000000"/>
          <w:sz w:val="22"/>
          <w:lang w:val="fr-BE"/>
        </w:rPr>
      </w:pPr>
      <w:r w:rsidRPr="00B94AE0">
        <w:rPr>
          <w:rFonts w:ascii="Palatino Linotype" w:hAnsi="Palatino Linotype" w:cstheme="minorHAnsi"/>
          <w:i/>
          <w:color w:val="000000"/>
          <w:sz w:val="22"/>
          <w:lang w:val="fr-BE"/>
        </w:rPr>
        <w:t xml:space="preserve">Les nouvelles instructions de </w:t>
      </w:r>
      <w:r w:rsidR="00E45C22" w:rsidRPr="00B94AE0">
        <w:rPr>
          <w:rFonts w:ascii="Palatino Linotype" w:hAnsi="Palatino Linotype" w:cstheme="minorHAnsi"/>
          <w:i/>
          <w:color w:val="000000"/>
          <w:sz w:val="22"/>
          <w:lang w:val="fr-BE"/>
        </w:rPr>
        <w:t xml:space="preserve">FEDASIL </w:t>
      </w:r>
      <w:r w:rsidRPr="00B94AE0">
        <w:rPr>
          <w:rFonts w:ascii="Palatino Linotype" w:hAnsi="Palatino Linotype" w:cstheme="minorHAnsi"/>
          <w:i/>
          <w:color w:val="000000"/>
          <w:sz w:val="22"/>
          <w:lang w:val="fr-BE"/>
        </w:rPr>
        <w:t xml:space="preserve">de fin janvier 2022 (soit la désignation systématique d’un « code 207 No Show » au cas où le demandeur de protection internationale ne se rend pas à un rendez-vous à l’ICAM) remplacent-elles la circulaire entrée en vigueur le 01.10.2020 et prévoyant les trois entretiens Dublin, au sein du centre d’accueil ? Si oui, quel est encore le sens d’un hébergement en « place Dublin » ? </w:t>
      </w:r>
    </w:p>
    <w:p w:rsidR="008D3993" w:rsidRDefault="008D3993" w:rsidP="00344779">
      <w:pPr>
        <w:jc w:val="both"/>
        <w:rPr>
          <w:rFonts w:cstheme="minorHAnsi"/>
          <w:color w:val="000000"/>
          <w:lang w:val="fr-BE"/>
        </w:rPr>
      </w:pPr>
    </w:p>
    <w:p w:rsidR="008D3993" w:rsidRPr="008D3993" w:rsidRDefault="008D3993" w:rsidP="00344779">
      <w:pPr>
        <w:jc w:val="both"/>
        <w:textAlignment w:val="baseline"/>
        <w:rPr>
          <w:rFonts w:ascii="Palatino Linotype" w:hAnsi="Palatino Linotype" w:cstheme="minorHAnsi"/>
          <w:sz w:val="22"/>
          <w:szCs w:val="22"/>
          <w:lang w:val="fr-BE"/>
        </w:rPr>
      </w:pPr>
      <w:r w:rsidRPr="008D3993">
        <w:rPr>
          <w:rFonts w:ascii="Palatino Linotype" w:hAnsi="Palatino Linotype" w:cstheme="minorHAnsi"/>
          <w:sz w:val="22"/>
          <w:szCs w:val="22"/>
          <w:lang w:val="fr-BE"/>
        </w:rPr>
        <w:t>Après une mise en état judiciaire, le dossier revient à l’aud</w:t>
      </w:r>
      <w:r w:rsidR="00F65952">
        <w:rPr>
          <w:rFonts w:ascii="Palatino Linotype" w:hAnsi="Palatino Linotype" w:cstheme="minorHAnsi"/>
          <w:sz w:val="22"/>
          <w:szCs w:val="22"/>
          <w:lang w:val="fr-BE"/>
        </w:rPr>
        <w:t>ience publique de référés ce 21/04/</w:t>
      </w:r>
      <w:r w:rsidRPr="008D3993">
        <w:rPr>
          <w:rFonts w:ascii="Palatino Linotype" w:hAnsi="Palatino Linotype" w:cstheme="minorHAnsi"/>
          <w:sz w:val="22"/>
          <w:szCs w:val="22"/>
          <w:lang w:val="fr-BE"/>
        </w:rPr>
        <w:t>2022.</w:t>
      </w:r>
    </w:p>
    <w:p w:rsidR="008D3993" w:rsidRPr="008D3993" w:rsidRDefault="008D3993" w:rsidP="008D3993">
      <w:pPr>
        <w:spacing w:before="324" w:line="274" w:lineRule="exact"/>
        <w:jc w:val="both"/>
        <w:textAlignment w:val="baseline"/>
        <w:rPr>
          <w:rFonts w:ascii="Palatino Linotype" w:hAnsi="Palatino Linotype" w:cstheme="minorHAnsi"/>
          <w:sz w:val="22"/>
          <w:szCs w:val="22"/>
          <w:lang w:val="fr-BE"/>
        </w:rPr>
      </w:pPr>
      <w:r w:rsidRPr="008D3993">
        <w:rPr>
          <w:rFonts w:ascii="Palatino Linotype" w:hAnsi="Palatino Linotype" w:cstheme="minorHAnsi"/>
          <w:sz w:val="22"/>
          <w:szCs w:val="22"/>
          <w:lang w:val="fr-BE"/>
        </w:rPr>
        <w:lastRenderedPageBreak/>
        <w:t xml:space="preserve">Entre temps, </w:t>
      </w:r>
      <w:r w:rsidR="00344779">
        <w:rPr>
          <w:rFonts w:ascii="Palatino Linotype" w:hAnsi="Palatino Linotype" w:cstheme="minorHAnsi"/>
          <w:sz w:val="22"/>
          <w:szCs w:val="22"/>
          <w:lang w:val="fr-BE"/>
        </w:rPr>
        <w:t>l’Etat Belge (</w:t>
      </w:r>
      <w:r w:rsidRPr="008D3993">
        <w:rPr>
          <w:rFonts w:ascii="Palatino Linotype" w:hAnsi="Palatino Linotype" w:cstheme="minorHAnsi"/>
          <w:sz w:val="22"/>
          <w:szCs w:val="22"/>
          <w:lang w:val="fr-BE"/>
        </w:rPr>
        <w:t>Office des étrangers) a fait intervention volontaire.</w:t>
      </w:r>
    </w:p>
    <w:p w:rsidR="00F94FB1" w:rsidRPr="005D0C33" w:rsidRDefault="00F94FB1">
      <w:pPr>
        <w:pStyle w:val="Retraitcorpsdetexte3"/>
        <w:tabs>
          <w:tab w:val="clear" w:pos="0"/>
          <w:tab w:val="clear" w:pos="720"/>
          <w:tab w:val="clear" w:pos="1440"/>
          <w:tab w:val="clear" w:pos="2160"/>
        </w:tabs>
        <w:ind w:left="0" w:firstLine="0"/>
        <w:jc w:val="both"/>
        <w:outlineLvl w:val="9"/>
        <w:rPr>
          <w:rFonts w:ascii="Palatino Linotype" w:hAnsi="Palatino Linotype" w:cstheme="minorHAnsi"/>
          <w:b/>
          <w:bCs/>
          <w:sz w:val="22"/>
          <w:szCs w:val="22"/>
          <w:u w:val="single"/>
          <w:lang w:val="fr-BE"/>
        </w:rPr>
      </w:pPr>
    </w:p>
    <w:p w:rsidR="00016168" w:rsidRPr="005D0C33" w:rsidRDefault="00B55C05">
      <w:pPr>
        <w:pStyle w:val="Retraitcorpsdetexte3"/>
        <w:tabs>
          <w:tab w:val="clear" w:pos="0"/>
          <w:tab w:val="clear" w:pos="720"/>
          <w:tab w:val="clear" w:pos="1440"/>
          <w:tab w:val="clear" w:pos="2160"/>
        </w:tabs>
        <w:ind w:left="0" w:firstLine="0"/>
        <w:jc w:val="both"/>
        <w:outlineLvl w:val="9"/>
        <w:rPr>
          <w:rFonts w:ascii="Palatino Linotype" w:hAnsi="Palatino Linotype" w:cstheme="minorHAnsi"/>
          <w:b/>
          <w:bCs/>
          <w:sz w:val="22"/>
          <w:szCs w:val="22"/>
          <w:u w:val="single"/>
          <w:lang w:val="fr-BE"/>
        </w:rPr>
      </w:pPr>
      <w:r>
        <w:rPr>
          <w:rFonts w:ascii="Palatino Linotype" w:hAnsi="Palatino Linotype" w:cstheme="minorHAnsi"/>
          <w:b/>
          <w:bCs/>
          <w:sz w:val="22"/>
          <w:szCs w:val="22"/>
          <w:u w:val="single"/>
          <w:lang w:val="fr-BE"/>
        </w:rPr>
        <w:t>Discussion</w:t>
      </w:r>
    </w:p>
    <w:p w:rsidR="00B447D5" w:rsidRPr="005D0C33" w:rsidRDefault="00B447D5">
      <w:pPr>
        <w:pStyle w:val="Retraitcorpsdetexte3"/>
        <w:tabs>
          <w:tab w:val="clear" w:pos="0"/>
          <w:tab w:val="clear" w:pos="720"/>
          <w:tab w:val="clear" w:pos="1440"/>
          <w:tab w:val="clear" w:pos="2160"/>
        </w:tabs>
        <w:ind w:left="0" w:firstLine="0"/>
        <w:jc w:val="both"/>
        <w:outlineLvl w:val="9"/>
        <w:rPr>
          <w:rFonts w:ascii="Palatino Linotype" w:hAnsi="Palatino Linotype" w:cstheme="minorHAnsi"/>
          <w:b/>
          <w:bCs/>
          <w:sz w:val="22"/>
          <w:szCs w:val="22"/>
          <w:u w:val="single"/>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 xml:space="preserve">Premièrement, même si l’intervention de l’Etat Belge ne semble pas indispensable à l’issue du litige, il n’en reste pas moins que, s’agissant de préciser certaines </w:t>
      </w:r>
      <w:r>
        <w:rPr>
          <w:rFonts w:ascii="Palatino Linotype" w:hAnsi="Palatino Linotype" w:cstheme="minorHAnsi"/>
          <w:sz w:val="22"/>
          <w:szCs w:val="22"/>
          <w:lang w:val="fr-BE"/>
        </w:rPr>
        <w:t>pratiques (</w:t>
      </w:r>
      <w:r w:rsidRPr="00344779">
        <w:rPr>
          <w:rFonts w:ascii="Palatino Linotype" w:hAnsi="Palatino Linotype" w:cstheme="minorHAnsi"/>
          <w:sz w:val="22"/>
          <w:szCs w:val="22"/>
          <w:lang w:val="fr-BE"/>
        </w:rPr>
        <w:t>notamment celles des trois entretiens Dublin), sa présence peut constituer une source d’informations complémentaires.</w:t>
      </w:r>
    </w:p>
    <w:p w:rsidR="00344779" w:rsidRPr="00344779" w:rsidRDefault="00344779" w:rsidP="00344779">
      <w:pPr>
        <w:jc w:val="both"/>
        <w:rPr>
          <w:rFonts w:ascii="Palatino Linotype" w:hAnsi="Palatino Linotype" w:cstheme="minorHAnsi"/>
          <w:sz w:val="22"/>
          <w:szCs w:val="22"/>
          <w:lang w:val="fr-BE"/>
        </w:rPr>
      </w:pPr>
    </w:p>
    <w:p w:rsidR="00344779" w:rsidRP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L’intervention volontaire de l’Etat Belge est donc déclarée recevable, la de</w:t>
      </w:r>
      <w:r>
        <w:rPr>
          <w:rFonts w:ascii="Palatino Linotype" w:hAnsi="Palatino Linotype" w:cstheme="minorHAnsi"/>
          <w:sz w:val="22"/>
          <w:szCs w:val="22"/>
          <w:lang w:val="fr-BE"/>
        </w:rPr>
        <w:t xml:space="preserve">mande en tierce opposition de </w:t>
      </w:r>
      <w:r w:rsidR="00E45C22">
        <w:rPr>
          <w:rFonts w:ascii="Palatino Linotype" w:hAnsi="Palatino Linotype" w:cstheme="minorHAnsi"/>
          <w:sz w:val="22"/>
          <w:szCs w:val="22"/>
          <w:lang w:val="fr-BE"/>
        </w:rPr>
        <w:t>FE</w:t>
      </w:r>
      <w:r w:rsidR="00E45C22" w:rsidRPr="00344779">
        <w:rPr>
          <w:rFonts w:ascii="Palatino Linotype" w:hAnsi="Palatino Linotype" w:cstheme="minorHAnsi"/>
          <w:sz w:val="22"/>
          <w:szCs w:val="22"/>
          <w:lang w:val="fr-BE"/>
        </w:rPr>
        <w:t xml:space="preserve">DASIL </w:t>
      </w:r>
      <w:r w:rsidRPr="00344779">
        <w:rPr>
          <w:rFonts w:ascii="Palatino Linotype" w:hAnsi="Palatino Linotype" w:cstheme="minorHAnsi"/>
          <w:sz w:val="22"/>
          <w:szCs w:val="22"/>
          <w:lang w:val="fr-BE"/>
        </w:rPr>
        <w:t>l’étant manifestement.</w:t>
      </w:r>
    </w:p>
    <w:p w:rsidR="00DA405E" w:rsidRDefault="00DA405E">
      <w:pPr>
        <w:tabs>
          <w:tab w:val="center" w:pos="6372"/>
        </w:tabs>
        <w:suppressAutoHyphens/>
        <w:spacing w:line="240" w:lineRule="atLeast"/>
        <w:jc w:val="both"/>
        <w:rPr>
          <w:rFonts w:ascii="Palatino Linotype" w:hAnsi="Palatino Linotype" w:cstheme="minorHAnsi"/>
          <w:sz w:val="22"/>
          <w:szCs w:val="22"/>
          <w:lang w:val="fr-BE"/>
        </w:rPr>
      </w:pPr>
    </w:p>
    <w:p w:rsidR="00344779" w:rsidRPr="00344779" w:rsidRDefault="00344779" w:rsidP="00344779">
      <w:pPr>
        <w:jc w:val="both"/>
        <w:rPr>
          <w:rFonts w:ascii="Palatino Linotype" w:hAnsi="Palatino Linotype" w:cstheme="minorHAnsi"/>
          <w:sz w:val="22"/>
          <w:szCs w:val="22"/>
          <w:u w:val="dash"/>
          <w:lang w:val="fr-BE"/>
        </w:rPr>
      </w:pPr>
      <w:r w:rsidRPr="00344779">
        <w:rPr>
          <w:rFonts w:ascii="Palatino Linotype" w:hAnsi="Palatino Linotype" w:cstheme="minorHAnsi"/>
          <w:sz w:val="22"/>
          <w:szCs w:val="22"/>
          <w:u w:val="dash"/>
          <w:lang w:val="fr-BE"/>
        </w:rPr>
        <w:t xml:space="preserve">Les apparence de droit relativement à la problématique de fond : </w:t>
      </w:r>
    </w:p>
    <w:p w:rsidR="00344779" w:rsidRPr="00344779" w:rsidRDefault="00344779" w:rsidP="00344779">
      <w:pPr>
        <w:jc w:val="both"/>
        <w:rPr>
          <w:rFonts w:ascii="Palatino Linotype" w:hAnsi="Palatino Linotype" w:cstheme="minorHAnsi"/>
          <w:sz w:val="22"/>
          <w:szCs w:val="22"/>
          <w:lang w:val="fr-BE"/>
        </w:rPr>
      </w:pPr>
    </w:p>
    <w:p w:rsidR="00344779" w:rsidRPr="00344779" w:rsidRDefault="00344779" w:rsidP="00344779">
      <w:pPr>
        <w:pStyle w:val="Paragraphedeliste"/>
        <w:numPr>
          <w:ilvl w:val="0"/>
          <w:numId w:val="28"/>
        </w:numPr>
        <w:spacing w:after="160" w:line="256" w:lineRule="auto"/>
        <w:jc w:val="both"/>
        <w:rPr>
          <w:rFonts w:ascii="Palatino Linotype" w:hAnsi="Palatino Linotype" w:cstheme="minorHAnsi"/>
          <w:b/>
          <w:sz w:val="22"/>
          <w:szCs w:val="22"/>
          <w:lang w:val="fr-BE"/>
        </w:rPr>
      </w:pPr>
      <w:r w:rsidRPr="00344779">
        <w:rPr>
          <w:rFonts w:ascii="Palatino Linotype" w:hAnsi="Palatino Linotype" w:cstheme="minorHAnsi"/>
          <w:b/>
          <w:sz w:val="22"/>
          <w:szCs w:val="22"/>
          <w:lang w:val="fr-BE"/>
        </w:rPr>
        <w:t xml:space="preserve">Le droit au recours effectif dans la problématique Dublin : </w:t>
      </w:r>
    </w:p>
    <w:p w:rsidR="00344779" w:rsidRPr="00344779" w:rsidRDefault="00344779" w:rsidP="00344779">
      <w:pPr>
        <w:jc w:val="both"/>
        <w:rPr>
          <w:rFonts w:ascii="Palatino Linotype" w:hAnsi="Palatino Linotype" w:cstheme="minorHAnsi"/>
          <w:sz w:val="22"/>
          <w:szCs w:val="22"/>
          <w:lang w:val="fr-BE"/>
        </w:rPr>
      </w:pPr>
    </w:p>
    <w:p w:rsidR="00344779" w:rsidRP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 xml:space="preserve">A.1. Situation initiale : </w:t>
      </w:r>
    </w:p>
    <w:p w:rsidR="00344779" w:rsidRDefault="00344779" w:rsidP="00344779">
      <w:pPr>
        <w:jc w:val="both"/>
        <w:rPr>
          <w:rFonts w:cstheme="minorHAnsi"/>
          <w:b/>
          <w:color w:val="000000"/>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Selon l’article 47 de la charte des droits fondamentaux de l’Union :</w:t>
      </w:r>
    </w:p>
    <w:p w:rsidR="00344779" w:rsidRPr="00344779" w:rsidRDefault="00344779" w:rsidP="00344779">
      <w:pPr>
        <w:jc w:val="both"/>
        <w:rPr>
          <w:rFonts w:ascii="Palatino Linotype" w:hAnsi="Palatino Linotype" w:cstheme="minorHAnsi"/>
          <w:sz w:val="22"/>
          <w:szCs w:val="22"/>
          <w:lang w:val="fr-BE"/>
        </w:rPr>
      </w:pPr>
    </w:p>
    <w:p w:rsidR="00344779" w:rsidRDefault="00344779" w:rsidP="00344779">
      <w:pPr>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 Toute personne dont les droits et libertés garantis par le droit de l'Union ont été violés a droit à un recours effectif devant un tribunal dans le respect des conditions prévues au présent article. Toute personne a droit à ce que sa cause soit entendue équitablement, publiquement et dans un délai raisonnable par un tribunal indépendant et impartial, établi préalablement par la loi. Toute personne a la possibilité de se faire conseiller, défendre et représenter. Une aide juridictionnelle est accordée à ceux qui ne disposent pas de ressources suffisantes, dans la mesure où cette aide serait nécessaire pour assurer l'effectivité de l'accès à la justice. »</w:t>
      </w:r>
    </w:p>
    <w:p w:rsidR="00344779" w:rsidRPr="00344779" w:rsidRDefault="00344779" w:rsidP="00344779">
      <w:pPr>
        <w:jc w:val="both"/>
        <w:rPr>
          <w:rFonts w:ascii="Palatino Linotype" w:hAnsi="Palatino Linotype" w:cstheme="minorHAnsi"/>
          <w:i/>
          <w:sz w:val="22"/>
          <w:szCs w:val="22"/>
          <w:lang w:val="fr-BE"/>
        </w:rPr>
      </w:pPr>
    </w:p>
    <w:p w:rsidR="00344779" w:rsidRP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Selon l’article 13 de la CEDH :</w:t>
      </w:r>
    </w:p>
    <w:p w:rsidR="00344779" w:rsidRDefault="00344779" w:rsidP="00344779">
      <w:pPr>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 Toute personne dont les droits et libertés reconnus dans la présente Convention ont été violés, a droit à l’octroi d’un recours effectif devant une instance nationale, alors même que la violation aurait été commise par des personnes agissant dans l’exercice de leurs fonctions officielles. »</w:t>
      </w:r>
    </w:p>
    <w:p w:rsidR="00344779" w:rsidRPr="00344779" w:rsidRDefault="00344779" w:rsidP="00344779">
      <w:pPr>
        <w:jc w:val="both"/>
        <w:rPr>
          <w:rFonts w:ascii="Palatino Linotype" w:hAnsi="Palatino Linotype" w:cstheme="minorHAnsi"/>
          <w:i/>
          <w:sz w:val="22"/>
          <w:szCs w:val="22"/>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A l’appréciation du Tribunal, ces textes, concordants</w:t>
      </w:r>
      <w:r w:rsidR="00F65952">
        <w:rPr>
          <w:rFonts w:ascii="Palatino Linotype" w:hAnsi="Palatino Linotype" w:cstheme="minorHAnsi"/>
          <w:sz w:val="22"/>
          <w:szCs w:val="22"/>
          <w:lang w:val="fr-BE"/>
        </w:rPr>
        <w:t>,</w:t>
      </w:r>
      <w:r w:rsidRPr="00344779">
        <w:rPr>
          <w:rFonts w:ascii="Palatino Linotype" w:hAnsi="Palatino Linotype" w:cstheme="minorHAnsi"/>
          <w:sz w:val="22"/>
          <w:szCs w:val="22"/>
          <w:lang w:val="fr-BE"/>
        </w:rPr>
        <w:t xml:space="preserve"> ont des valeurs constitutionnelles da</w:t>
      </w:r>
      <w:r w:rsidR="00F65952">
        <w:rPr>
          <w:rFonts w:ascii="Palatino Linotype" w:hAnsi="Palatino Linotype" w:cstheme="minorHAnsi"/>
          <w:sz w:val="22"/>
          <w:szCs w:val="22"/>
          <w:lang w:val="fr-BE"/>
        </w:rPr>
        <w:t>ns l’ordre juridique européen (</w:t>
      </w:r>
      <w:r w:rsidRPr="00344779">
        <w:rPr>
          <w:rFonts w:ascii="Palatino Linotype" w:hAnsi="Palatino Linotype" w:cstheme="minorHAnsi"/>
          <w:sz w:val="22"/>
          <w:szCs w:val="22"/>
          <w:lang w:val="fr-BE"/>
        </w:rPr>
        <w:t>que ce soit l’Union Européenne, où les pays signataires de la Convention Européenne des droits de l’Homme).</w:t>
      </w:r>
    </w:p>
    <w:p w:rsidR="00344779" w:rsidRPr="00344779" w:rsidRDefault="00344779" w:rsidP="00344779">
      <w:pPr>
        <w:jc w:val="both"/>
        <w:rPr>
          <w:rFonts w:ascii="Palatino Linotype" w:hAnsi="Palatino Linotype" w:cstheme="minorHAnsi"/>
          <w:sz w:val="22"/>
          <w:szCs w:val="22"/>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Nul texte ne peut y déroger. Les droits fondamentaux des citoyens sont à ce prix.</w:t>
      </w:r>
    </w:p>
    <w:p w:rsidR="00344779" w:rsidRDefault="00344779" w:rsidP="00344779">
      <w:pPr>
        <w:jc w:val="both"/>
        <w:rPr>
          <w:rFonts w:ascii="Palatino Linotype" w:hAnsi="Palatino Linotype" w:cstheme="minorHAnsi"/>
          <w:sz w:val="22"/>
          <w:szCs w:val="22"/>
          <w:lang w:val="fr-BE"/>
        </w:rPr>
      </w:pPr>
    </w:p>
    <w:p w:rsidR="00344779" w:rsidRP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Selon l’article 27 du règlement UE Dublin III :</w:t>
      </w:r>
    </w:p>
    <w:p w:rsidR="00344779" w:rsidRDefault="00344779" w:rsidP="00344779">
      <w:pPr>
        <w:shd w:val="clear" w:color="auto" w:fill="FFFFFF"/>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 1.   Le demandeur ou une autre personne visée à l’article 18, paragraphe 1, point c) ou d), dispose d’un droit de recours effectif, sous la forme d’un recours contre la décision de transfert ou d’une révision, en fait et en droit, de cette décision devant une juridiction.</w:t>
      </w:r>
    </w:p>
    <w:p w:rsidR="00344779" w:rsidRPr="00344779" w:rsidRDefault="00344779" w:rsidP="00344779">
      <w:pPr>
        <w:shd w:val="clear" w:color="auto" w:fill="FFFFFF"/>
        <w:jc w:val="both"/>
        <w:rPr>
          <w:rFonts w:ascii="Palatino Linotype" w:hAnsi="Palatino Linotype" w:cstheme="minorHAnsi"/>
          <w:i/>
          <w:sz w:val="22"/>
          <w:szCs w:val="22"/>
          <w:lang w:val="fr-BE"/>
        </w:rPr>
      </w:pPr>
    </w:p>
    <w:p w:rsidR="00344779" w:rsidRDefault="00344779" w:rsidP="00344779">
      <w:pPr>
        <w:shd w:val="clear" w:color="auto" w:fill="FFFFFF"/>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2.   Les États membres accordent à la personne concernée un délai raisonnable pour exercer son droit à un recours effectif conformément au paragraphe 1.</w:t>
      </w:r>
    </w:p>
    <w:p w:rsidR="00344779" w:rsidRPr="00344779" w:rsidRDefault="00344779" w:rsidP="00344779">
      <w:pPr>
        <w:shd w:val="clear" w:color="auto" w:fill="FFFFFF"/>
        <w:jc w:val="both"/>
        <w:rPr>
          <w:rFonts w:ascii="Palatino Linotype" w:hAnsi="Palatino Linotype" w:cstheme="minorHAnsi"/>
          <w:i/>
          <w:sz w:val="22"/>
          <w:szCs w:val="22"/>
          <w:lang w:val="fr-BE"/>
        </w:rPr>
      </w:pPr>
    </w:p>
    <w:p w:rsidR="00344779" w:rsidRPr="00344779" w:rsidRDefault="00344779" w:rsidP="00344779">
      <w:pPr>
        <w:shd w:val="clear" w:color="auto" w:fill="FFFFFF"/>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3.   Aux fins des recours contre des décisions de transfert ou des demandes de révision de ces décisions, les États membres prévoient les dispositions suivantes dans leur droit national:</w:t>
      </w:r>
    </w:p>
    <w:tbl>
      <w:tblPr>
        <w:tblW w:w="5000" w:type="pct"/>
        <w:shd w:val="clear" w:color="auto" w:fill="FFFFFF"/>
        <w:tblCellMar>
          <w:left w:w="0" w:type="dxa"/>
          <w:right w:w="0" w:type="dxa"/>
        </w:tblCellMar>
        <w:tblLook w:val="04A0" w:firstRow="1" w:lastRow="0" w:firstColumn="1" w:lastColumn="0" w:noHBand="0" w:noVBand="1"/>
      </w:tblPr>
      <w:tblGrid>
        <w:gridCol w:w="455"/>
        <w:gridCol w:w="7690"/>
      </w:tblGrid>
      <w:tr w:rsidR="00344779" w:rsidRPr="00347B26" w:rsidTr="00F65952">
        <w:tc>
          <w:tcPr>
            <w:tcW w:w="0" w:type="auto"/>
            <w:shd w:val="clear" w:color="auto" w:fill="FFFFFF"/>
            <w:hideMark/>
          </w:tcPr>
          <w:p w:rsidR="00344779" w:rsidRPr="00344779" w:rsidRDefault="00344779" w:rsidP="00344779">
            <w:pPr>
              <w:ind w:left="284"/>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a)</w:t>
            </w:r>
          </w:p>
        </w:tc>
        <w:tc>
          <w:tcPr>
            <w:tcW w:w="0" w:type="auto"/>
            <w:shd w:val="clear" w:color="auto" w:fill="FFFFFF"/>
            <w:hideMark/>
          </w:tcPr>
          <w:p w:rsidR="00344779" w:rsidRPr="00344779" w:rsidRDefault="00344779" w:rsidP="00344779">
            <w:pPr>
              <w:ind w:left="284"/>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le recours ou la révision confère à la personne concernée le droit de rester dans l’État membre concerné en attendant l’issue de son recours ou de sa demande de révision; ou</w:t>
            </w:r>
          </w:p>
        </w:tc>
      </w:tr>
    </w:tbl>
    <w:p w:rsidR="00344779" w:rsidRPr="00344779" w:rsidRDefault="00344779" w:rsidP="00344779">
      <w:pPr>
        <w:ind w:left="284"/>
        <w:rPr>
          <w:rFonts w:ascii="Palatino Linotype" w:hAnsi="Palatino Linotype" w:cstheme="minorHAnsi"/>
          <w:i/>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460"/>
        <w:gridCol w:w="7685"/>
      </w:tblGrid>
      <w:tr w:rsidR="00344779" w:rsidRPr="00347B26" w:rsidTr="00F65952">
        <w:tc>
          <w:tcPr>
            <w:tcW w:w="0" w:type="auto"/>
            <w:shd w:val="clear" w:color="auto" w:fill="FFFFFF"/>
            <w:hideMark/>
          </w:tcPr>
          <w:p w:rsidR="00344779" w:rsidRPr="00344779" w:rsidRDefault="00344779" w:rsidP="00344779">
            <w:pPr>
              <w:ind w:left="284"/>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b)</w:t>
            </w:r>
          </w:p>
        </w:tc>
        <w:tc>
          <w:tcPr>
            <w:tcW w:w="0" w:type="auto"/>
            <w:shd w:val="clear" w:color="auto" w:fill="FFFFFF"/>
            <w:hideMark/>
          </w:tcPr>
          <w:p w:rsidR="00344779" w:rsidRPr="00344779" w:rsidRDefault="00344779" w:rsidP="00344779">
            <w:pPr>
              <w:ind w:left="284"/>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le transfert est automatiquement suspendu et une telle suspension expire au terme d’un délai raisonnable, pendant lequel une juridiction, après un examen attentif et rigoureux de la requête, aura décidé s’il y a lieu d’accorder un effet suspensif à un recours ou une demande de révision; ou</w:t>
            </w:r>
          </w:p>
        </w:tc>
      </w:tr>
    </w:tbl>
    <w:p w:rsidR="00344779" w:rsidRPr="00344779" w:rsidRDefault="00344779" w:rsidP="00344779">
      <w:pPr>
        <w:ind w:left="284"/>
        <w:rPr>
          <w:rFonts w:ascii="Palatino Linotype" w:hAnsi="Palatino Linotype" w:cstheme="minorHAnsi"/>
          <w:i/>
          <w:sz w:val="22"/>
          <w:szCs w:val="22"/>
          <w:lang w:val="fr-BE"/>
        </w:rPr>
      </w:pPr>
    </w:p>
    <w:tbl>
      <w:tblPr>
        <w:tblW w:w="5000" w:type="pct"/>
        <w:shd w:val="clear" w:color="auto" w:fill="FFFFFF"/>
        <w:tblCellMar>
          <w:left w:w="0" w:type="dxa"/>
          <w:right w:w="0" w:type="dxa"/>
        </w:tblCellMar>
        <w:tblLook w:val="04A0" w:firstRow="1" w:lastRow="0" w:firstColumn="1" w:lastColumn="0" w:noHBand="0" w:noVBand="1"/>
      </w:tblPr>
      <w:tblGrid>
        <w:gridCol w:w="447"/>
        <w:gridCol w:w="7698"/>
      </w:tblGrid>
      <w:tr w:rsidR="00344779" w:rsidRPr="00347B26" w:rsidTr="00F65952">
        <w:tc>
          <w:tcPr>
            <w:tcW w:w="0" w:type="auto"/>
            <w:shd w:val="clear" w:color="auto" w:fill="FFFFFF"/>
            <w:hideMark/>
          </w:tcPr>
          <w:p w:rsidR="00344779" w:rsidRPr="00344779" w:rsidRDefault="00344779" w:rsidP="00344779">
            <w:pPr>
              <w:ind w:left="284"/>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c)</w:t>
            </w:r>
          </w:p>
        </w:tc>
        <w:tc>
          <w:tcPr>
            <w:tcW w:w="0" w:type="auto"/>
            <w:shd w:val="clear" w:color="auto" w:fill="FFFFFF"/>
            <w:hideMark/>
          </w:tcPr>
          <w:p w:rsidR="00344779" w:rsidRPr="00344779" w:rsidRDefault="00344779" w:rsidP="00344779">
            <w:pPr>
              <w:ind w:left="284"/>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la personne concernée a la possibilité de demander dans un délai raisonnable à une juridiction de suspendre l’exécution de la décision de transfert en attendant l’issue de son recours ou de sa demande de révision. Les États membres veillent à ce qu’il existe un recours effectif, le transfert étant suspendu jusqu’à ce qu’il ait été statué sur la première demande de suspension. La décision de suspendre ou non l’exécution de la décision de transfert est prise dans un délai raisonnable, en ménageant la possibilité d’un examen attentif et rigoureux de la demande de suspension. La décision de ne pas suspendre l’exécution de la décision de transfert doit être motivée.</w:t>
            </w:r>
          </w:p>
        </w:tc>
      </w:tr>
      <w:tr w:rsidR="00344779" w:rsidRPr="00347B26" w:rsidTr="00F65952">
        <w:tc>
          <w:tcPr>
            <w:tcW w:w="0" w:type="auto"/>
            <w:shd w:val="clear" w:color="auto" w:fill="FFFFFF"/>
          </w:tcPr>
          <w:p w:rsidR="00344779" w:rsidRPr="00344779" w:rsidRDefault="00344779" w:rsidP="00344779">
            <w:pPr>
              <w:ind w:left="284"/>
              <w:jc w:val="both"/>
              <w:rPr>
                <w:rFonts w:ascii="Palatino Linotype" w:hAnsi="Palatino Linotype" w:cstheme="minorHAnsi"/>
                <w:i/>
                <w:sz w:val="22"/>
                <w:szCs w:val="22"/>
                <w:lang w:val="fr-BE"/>
              </w:rPr>
            </w:pPr>
          </w:p>
        </w:tc>
        <w:tc>
          <w:tcPr>
            <w:tcW w:w="0" w:type="auto"/>
            <w:shd w:val="clear" w:color="auto" w:fill="FFFFFF"/>
          </w:tcPr>
          <w:p w:rsidR="00344779" w:rsidRPr="00344779" w:rsidRDefault="00344779" w:rsidP="00344779">
            <w:pPr>
              <w:ind w:left="284"/>
              <w:jc w:val="both"/>
              <w:rPr>
                <w:rFonts w:ascii="Palatino Linotype" w:hAnsi="Palatino Linotype" w:cstheme="minorHAnsi"/>
                <w:i/>
                <w:sz w:val="22"/>
                <w:szCs w:val="22"/>
                <w:lang w:val="fr-BE"/>
              </w:rPr>
            </w:pPr>
          </w:p>
        </w:tc>
      </w:tr>
    </w:tbl>
    <w:p w:rsidR="00344779" w:rsidRDefault="00344779" w:rsidP="00344779">
      <w:pPr>
        <w:shd w:val="clear" w:color="auto" w:fill="FFFFFF"/>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4.   Les États membres peuvent prévoir que les autorités compétentes peuvent décider d’office de suspendre l’exécution de la décision de transfert en attendant l’issue du recours ou de la demande de révision.</w:t>
      </w:r>
    </w:p>
    <w:p w:rsidR="00344779" w:rsidRPr="00344779" w:rsidRDefault="00344779" w:rsidP="00344779">
      <w:pPr>
        <w:shd w:val="clear" w:color="auto" w:fill="FFFFFF"/>
        <w:jc w:val="both"/>
        <w:rPr>
          <w:rFonts w:ascii="Palatino Linotype" w:hAnsi="Palatino Linotype" w:cstheme="minorHAnsi"/>
          <w:i/>
          <w:sz w:val="22"/>
          <w:szCs w:val="22"/>
          <w:lang w:val="fr-BE"/>
        </w:rPr>
      </w:pPr>
    </w:p>
    <w:p w:rsidR="00344779" w:rsidRPr="00344779" w:rsidRDefault="00344779" w:rsidP="00344779">
      <w:pPr>
        <w:shd w:val="clear" w:color="auto" w:fill="FFFFFF"/>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5.   Les États membres veillent à ce que la personne concernée ait accès à une assistance juridique et, si nécessaire, à une assistance linguistique… »</w:t>
      </w:r>
    </w:p>
    <w:p w:rsidR="00344779" w:rsidRPr="00344779" w:rsidRDefault="00344779" w:rsidP="00344779">
      <w:pPr>
        <w:jc w:val="both"/>
        <w:rPr>
          <w:rFonts w:ascii="Palatino Linotype" w:hAnsi="Palatino Linotype" w:cstheme="minorHAnsi"/>
          <w:sz w:val="22"/>
          <w:szCs w:val="22"/>
          <w:lang w:val="fr-BE"/>
        </w:rPr>
      </w:pPr>
    </w:p>
    <w:p w:rsidR="00344779" w:rsidRDefault="00344779" w:rsidP="00344779">
      <w:pPr>
        <w:jc w:val="both"/>
        <w:rPr>
          <w:rFonts w:ascii="Palatino Linotype" w:hAnsi="Palatino Linotype" w:cstheme="minorHAnsi"/>
          <w:i/>
          <w:sz w:val="22"/>
          <w:szCs w:val="22"/>
          <w:lang w:val="fr-BE"/>
        </w:rPr>
      </w:pPr>
      <w:r w:rsidRPr="00344779">
        <w:rPr>
          <w:rFonts w:ascii="Palatino Linotype" w:hAnsi="Palatino Linotype" w:cstheme="minorHAnsi"/>
          <w:sz w:val="22"/>
          <w:szCs w:val="22"/>
          <w:lang w:val="fr-BE"/>
        </w:rPr>
        <w:t>Même à prendre la possibilité n° c</w:t>
      </w:r>
      <w:r w:rsidR="00F65952">
        <w:rPr>
          <w:rFonts w:ascii="Palatino Linotype" w:hAnsi="Palatino Linotype" w:cstheme="minorHAnsi"/>
          <w:sz w:val="22"/>
          <w:szCs w:val="22"/>
          <w:lang w:val="fr-BE"/>
        </w:rPr>
        <w:t>)</w:t>
      </w:r>
      <w:r w:rsidRPr="00344779">
        <w:rPr>
          <w:rFonts w:ascii="Palatino Linotype" w:hAnsi="Palatino Linotype" w:cstheme="minorHAnsi"/>
          <w:sz w:val="22"/>
          <w:szCs w:val="22"/>
          <w:lang w:val="fr-BE"/>
        </w:rPr>
        <w:t xml:space="preserve"> du point 3 de l’article 27</w:t>
      </w:r>
      <w:r w:rsidRPr="00F65952">
        <w:rPr>
          <w:rFonts w:ascii="Palatino Linotype" w:hAnsi="Palatino Linotype" w:cstheme="minorHAnsi"/>
          <w:sz w:val="10"/>
          <w:szCs w:val="22"/>
          <w:lang w:val="fr-BE"/>
        </w:rPr>
        <w:footnoteReference w:id="1"/>
      </w:r>
      <w:r w:rsidRPr="00344779">
        <w:rPr>
          <w:rFonts w:ascii="Palatino Linotype" w:hAnsi="Palatino Linotype" w:cstheme="minorHAnsi"/>
          <w:sz w:val="22"/>
          <w:szCs w:val="22"/>
          <w:lang w:val="fr-BE"/>
        </w:rPr>
        <w:t>, le Tribunal constate donc que « </w:t>
      </w:r>
      <w:r w:rsidRPr="00344779">
        <w:rPr>
          <w:rFonts w:ascii="Palatino Linotype" w:hAnsi="Palatino Linotype" w:cstheme="minorHAnsi"/>
          <w:i/>
          <w:sz w:val="22"/>
          <w:szCs w:val="22"/>
          <w:lang w:val="fr-BE"/>
        </w:rPr>
        <w:t>Les États membres veillent à ce qu’il existe un recours effectif, le transfert étant suspendu jusqu’à ce qu’il ait été statué sur la première demande de suspension… ».</w:t>
      </w:r>
    </w:p>
    <w:p w:rsidR="00344779" w:rsidRDefault="00344779" w:rsidP="00344779">
      <w:pPr>
        <w:jc w:val="both"/>
        <w:rPr>
          <w:rFonts w:ascii="Palatino Linotype" w:hAnsi="Palatino Linotype" w:cstheme="minorHAnsi"/>
          <w:i/>
          <w:sz w:val="22"/>
          <w:szCs w:val="22"/>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Par ailleurs, la notion de recours effectif au sens de l’article 13 de la CEDH sous-entend un effet suspensif :</w:t>
      </w:r>
    </w:p>
    <w:p w:rsidR="00344779" w:rsidRPr="00344779" w:rsidRDefault="00344779" w:rsidP="00344779">
      <w:pPr>
        <w:jc w:val="both"/>
        <w:rPr>
          <w:rFonts w:ascii="Palatino Linotype" w:hAnsi="Palatino Linotype" w:cstheme="minorHAnsi"/>
          <w:sz w:val="22"/>
          <w:szCs w:val="22"/>
          <w:lang w:val="fr-BE"/>
        </w:rPr>
      </w:pPr>
    </w:p>
    <w:p w:rsidR="00344779" w:rsidRPr="00F65952" w:rsidRDefault="00F65952" w:rsidP="00344779">
      <w:pPr>
        <w:jc w:val="both"/>
        <w:rPr>
          <w:rFonts w:ascii="Palatino Linotype" w:hAnsi="Palatino Linotype" w:cstheme="minorHAnsi"/>
          <w:i/>
          <w:sz w:val="22"/>
          <w:szCs w:val="22"/>
          <w:lang w:val="fr-BE"/>
        </w:rPr>
      </w:pPr>
      <w:r>
        <w:rPr>
          <w:rFonts w:ascii="Palatino Linotype" w:hAnsi="Palatino Linotype" w:cstheme="minorHAnsi"/>
          <w:i/>
          <w:sz w:val="22"/>
          <w:szCs w:val="22"/>
          <w:lang w:val="fr-BE"/>
        </w:rPr>
        <w:t>« </w:t>
      </w:r>
      <w:r w:rsidR="00344779" w:rsidRPr="00F65952">
        <w:rPr>
          <w:rFonts w:ascii="Palatino Linotype" w:hAnsi="Palatino Linotype" w:cstheme="minorHAnsi"/>
          <w:i/>
          <w:sz w:val="22"/>
          <w:szCs w:val="22"/>
          <w:lang w:val="fr-BE"/>
        </w:rPr>
        <w:t>Un recours effectif doit empêcher que ne se réalisent des conséquences irréversibles. Lorsqu’un éloignement du pays est projeté, seul un recours suspensif permet d’empêcher des conséquences irréversibles</w:t>
      </w:r>
      <w:r w:rsidR="00344779" w:rsidRPr="00F65952">
        <w:rPr>
          <w:rFonts w:ascii="Palatino Linotype" w:hAnsi="Palatino Linotype" w:cstheme="minorHAnsi"/>
          <w:i/>
          <w:sz w:val="12"/>
          <w:szCs w:val="22"/>
          <w:lang w:val="fr-BE"/>
        </w:rPr>
        <w:footnoteReference w:id="2"/>
      </w:r>
      <w:r w:rsidR="00344779" w:rsidRPr="00F65952">
        <w:rPr>
          <w:rFonts w:ascii="Palatino Linotype" w:hAnsi="Palatino Linotype" w:cstheme="minorHAnsi"/>
          <w:i/>
          <w:sz w:val="12"/>
          <w:szCs w:val="22"/>
          <w:lang w:val="fr-BE"/>
        </w:rPr>
        <w:t>.</w:t>
      </w:r>
      <w:r w:rsidR="00344779" w:rsidRPr="00F65952">
        <w:rPr>
          <w:rFonts w:ascii="Palatino Linotype" w:hAnsi="Palatino Linotype" w:cstheme="minorHAnsi"/>
          <w:i/>
          <w:sz w:val="22"/>
          <w:szCs w:val="22"/>
          <w:lang w:val="fr-BE"/>
        </w:rPr>
        <w:t xml:space="preserve"> »   </w:t>
      </w:r>
    </w:p>
    <w:p w:rsidR="00344779" w:rsidRPr="00344779" w:rsidRDefault="00344779" w:rsidP="00344779">
      <w:pPr>
        <w:jc w:val="both"/>
        <w:rPr>
          <w:rFonts w:ascii="Palatino Linotype" w:hAnsi="Palatino Linotype" w:cstheme="minorHAnsi"/>
          <w:sz w:val="22"/>
          <w:szCs w:val="22"/>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Cependant, sans même aller jusqu’à un recours « suspensif » ( ce qui doit pourtant être le cas à l’appréciation du Tribunal), il est indiscutable que le recours doit être efficace ( soit accessible et débouchant sur une décision dans le délai utile), faute de quoi, il n’est pas effectif.</w:t>
      </w:r>
    </w:p>
    <w:p w:rsidR="00344779" w:rsidRPr="00344779" w:rsidRDefault="00344779" w:rsidP="00344779">
      <w:pPr>
        <w:jc w:val="both"/>
        <w:rPr>
          <w:rFonts w:ascii="Palatino Linotype" w:hAnsi="Palatino Linotype" w:cstheme="minorHAnsi"/>
          <w:sz w:val="22"/>
          <w:szCs w:val="22"/>
          <w:lang w:val="fr-BE"/>
        </w:rPr>
      </w:pPr>
    </w:p>
    <w:p w:rsidR="00344779" w:rsidRP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La situation des recours accessibles en droit Belge a très bien été détaillée par un arrêt de la Cour du Travail de Liège</w:t>
      </w:r>
      <w:r w:rsidRPr="00F65952">
        <w:rPr>
          <w:rFonts w:ascii="Palatino Linotype" w:hAnsi="Palatino Linotype" w:cstheme="minorHAnsi"/>
          <w:sz w:val="14"/>
          <w:szCs w:val="22"/>
          <w:lang w:val="fr-BE"/>
        </w:rPr>
        <w:footnoteReference w:id="3"/>
      </w:r>
      <w:r w:rsidRPr="00F65952">
        <w:rPr>
          <w:rFonts w:ascii="Palatino Linotype" w:hAnsi="Palatino Linotype" w:cstheme="minorHAnsi"/>
          <w:sz w:val="14"/>
          <w:szCs w:val="22"/>
          <w:lang w:val="fr-BE"/>
        </w:rPr>
        <w:t> </w:t>
      </w:r>
      <w:r w:rsidRPr="00344779">
        <w:rPr>
          <w:rFonts w:ascii="Palatino Linotype" w:hAnsi="Palatino Linotype" w:cstheme="minorHAnsi"/>
          <w:sz w:val="22"/>
          <w:szCs w:val="22"/>
          <w:lang w:val="fr-BE"/>
        </w:rPr>
        <w:t>:</w:t>
      </w:r>
    </w:p>
    <w:p w:rsidR="00DA405E" w:rsidRDefault="00DA405E" w:rsidP="00344779">
      <w:pPr>
        <w:tabs>
          <w:tab w:val="center" w:pos="6372"/>
        </w:tabs>
        <w:suppressAutoHyphens/>
        <w:jc w:val="both"/>
        <w:rPr>
          <w:rFonts w:ascii="Palatino Linotype" w:hAnsi="Palatino Linotype" w:cstheme="minorHAnsi"/>
          <w:sz w:val="22"/>
          <w:szCs w:val="22"/>
          <w:lang w:val="fr-BE"/>
        </w:rPr>
      </w:pPr>
    </w:p>
    <w:p w:rsidR="00344779" w:rsidRPr="00344779" w:rsidRDefault="00344779" w:rsidP="00344779">
      <w:pPr>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 L’article 27 du règlement n° 604/2013 du parlement eu</w:t>
      </w:r>
      <w:r w:rsidR="00F65952">
        <w:rPr>
          <w:rFonts w:ascii="Palatino Linotype" w:hAnsi="Palatino Linotype" w:cstheme="minorHAnsi"/>
          <w:i/>
          <w:sz w:val="22"/>
          <w:szCs w:val="22"/>
          <w:lang w:val="fr-BE"/>
        </w:rPr>
        <w:t>ropéen et du Conseil du 26 juin </w:t>
      </w:r>
      <w:r w:rsidRPr="00344779">
        <w:rPr>
          <w:rFonts w:ascii="Palatino Linotype" w:hAnsi="Palatino Linotype" w:cstheme="minorHAnsi"/>
          <w:i/>
          <w:sz w:val="22"/>
          <w:szCs w:val="22"/>
          <w:lang w:val="fr-BE"/>
        </w:rPr>
        <w:t>2013 établissant les critères et mécanismes de détermination de l’État membre responsable de l’examen d’une demande de protection internationale introduite dans l’un des États membres par un ressortissant de pays tiers ou un apatride s’énonce comme suit :</w:t>
      </w:r>
    </w:p>
    <w:p w:rsidR="00344779" w:rsidRPr="00344779" w:rsidRDefault="00344779" w:rsidP="00344779">
      <w:pPr>
        <w:spacing w:before="100" w:beforeAutospacing="1" w:after="100" w:afterAutospacing="1"/>
        <w:ind w:left="426"/>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Article 27</w:t>
      </w:r>
    </w:p>
    <w:p w:rsidR="00344779" w:rsidRPr="00344779" w:rsidRDefault="00344779" w:rsidP="00344779">
      <w:pPr>
        <w:spacing w:before="100" w:beforeAutospacing="1" w:after="100" w:afterAutospacing="1"/>
        <w:ind w:left="426"/>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Voies de recours</w:t>
      </w:r>
    </w:p>
    <w:p w:rsidR="00344779" w:rsidRPr="00344779" w:rsidRDefault="00344779" w:rsidP="00344779">
      <w:pPr>
        <w:spacing w:before="100" w:beforeAutospacing="1" w:after="100" w:afterAutospacing="1"/>
        <w:ind w:left="426"/>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1.   Le demandeur ou une autre personne visée à l’article 18, paragraphe 1, point c) ou d), dispose d’un droit de recours effectif, sous la forme d’un recours contre la décision de transfert ou d’une révision, en fait et en droit, de cette décision devant une juridiction.</w:t>
      </w:r>
    </w:p>
    <w:p w:rsidR="00344779" w:rsidRPr="00344779" w:rsidRDefault="00344779" w:rsidP="00344779">
      <w:pPr>
        <w:spacing w:before="100" w:beforeAutospacing="1" w:after="100" w:afterAutospacing="1"/>
        <w:ind w:left="426"/>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2.   Les États membres accordent à la personne concernée un délai raisonnable pour exercer son droit à un recours effectif conformément au paragraphe 1.</w:t>
      </w:r>
    </w:p>
    <w:p w:rsidR="00344779" w:rsidRPr="00344779" w:rsidRDefault="00344779" w:rsidP="00344779">
      <w:pPr>
        <w:spacing w:before="100" w:beforeAutospacing="1" w:after="100" w:afterAutospacing="1"/>
        <w:ind w:left="426"/>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3.   Aux fins des recours contre des décisions de transfert ou des demandes de révision de ces décisions, les États membres prévoient les dispositions suivantes dans leur droit national:</w:t>
      </w:r>
    </w:p>
    <w:p w:rsidR="00344779" w:rsidRPr="00344779" w:rsidRDefault="00344779" w:rsidP="00344779">
      <w:pPr>
        <w:ind w:left="426"/>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a)  le recours ou la révision confère à la personne concernée le droit de rester dans l’État membre concerné en attendant l’issue de son recours ou de sa demande de révision; ou</w:t>
      </w:r>
    </w:p>
    <w:p w:rsidR="00344779" w:rsidRPr="00344779" w:rsidRDefault="00344779" w:rsidP="00344779">
      <w:pPr>
        <w:ind w:left="426"/>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b)  le transfert est automatiquement suspendu et une telle suspension expire au terme d’un délai raisonnable, pendant lequel une juridiction, après un examen attentif et rigoureux de la requête, aura décidé s’il y a lieu d’accorder un effet suspensif à un recours ou une demande de révision; ou</w:t>
      </w:r>
    </w:p>
    <w:p w:rsidR="00344779" w:rsidRPr="00344779" w:rsidRDefault="00344779" w:rsidP="00344779">
      <w:pPr>
        <w:ind w:left="426"/>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c)  la personne concernée a la possibilité de demander dans un délai raisonnable à une juridiction de suspendre l’exécution de la décision de transfert en attendant l’issue de son recours ou de sa demande de révision. Les États membres veillent à ce qu’il existe un recours effectif, le transfert étant suspendu jusqu’à ce qu’il ait été statué sur la première demande de suspension. La décision de suspendre ou non l’exécution de la décision de transfert est prise dans un délai raisonnable, en ménageant la possibilité d’un examen attentif et rigoureux de la demande de suspension. La décision de ne pas suspendre l’exécution de la décision de transfert doit être motivée.</w:t>
      </w:r>
    </w:p>
    <w:p w:rsidR="00344779" w:rsidRPr="00344779" w:rsidRDefault="00344779" w:rsidP="00344779">
      <w:pPr>
        <w:spacing w:before="100" w:beforeAutospacing="1" w:after="100" w:afterAutospacing="1"/>
        <w:ind w:left="426"/>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4.   Les États membres peuvent prévoir que les autorités compétentes peuvent décider d’office de suspendre l’exécution de la décision de transfert en attendant l’issue du recours ou de la demande de révision.</w:t>
      </w:r>
    </w:p>
    <w:p w:rsidR="00344779" w:rsidRPr="00344779" w:rsidRDefault="00344779" w:rsidP="00344779">
      <w:pPr>
        <w:spacing w:before="100" w:beforeAutospacing="1" w:after="100" w:afterAutospacing="1"/>
        <w:ind w:left="426"/>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 xml:space="preserve"> (…)</w:t>
      </w:r>
    </w:p>
    <w:p w:rsidR="00344779" w:rsidRDefault="00344779" w:rsidP="00344779">
      <w:pPr>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 xml:space="preserve">L’option retenue par le droit interne s’est de toute évidence inspirée du point c ci-dessus. Mais les exigences de cette disposition </w:t>
      </w:r>
      <w:proofErr w:type="spellStart"/>
      <w:r w:rsidRPr="00344779">
        <w:rPr>
          <w:rFonts w:ascii="Palatino Linotype" w:hAnsi="Palatino Linotype" w:cstheme="minorHAnsi"/>
          <w:i/>
          <w:sz w:val="22"/>
          <w:szCs w:val="22"/>
          <w:lang w:val="fr-BE"/>
        </w:rPr>
        <w:t>ont-elles</w:t>
      </w:r>
      <w:proofErr w:type="spellEnd"/>
      <w:r w:rsidRPr="00344779">
        <w:rPr>
          <w:rFonts w:ascii="Palatino Linotype" w:hAnsi="Palatino Linotype" w:cstheme="minorHAnsi"/>
          <w:i/>
          <w:sz w:val="22"/>
          <w:szCs w:val="22"/>
          <w:lang w:val="fr-BE"/>
        </w:rPr>
        <w:t xml:space="preserve"> été rencontrées ?</w:t>
      </w:r>
    </w:p>
    <w:p w:rsidR="00344779" w:rsidRPr="00344779" w:rsidRDefault="00344779" w:rsidP="00344779">
      <w:pPr>
        <w:jc w:val="both"/>
        <w:rPr>
          <w:rFonts w:ascii="Palatino Linotype" w:hAnsi="Palatino Linotype" w:cstheme="minorHAnsi"/>
          <w:i/>
          <w:sz w:val="22"/>
          <w:szCs w:val="22"/>
          <w:lang w:val="fr-BE"/>
        </w:rPr>
      </w:pPr>
    </w:p>
    <w:p w:rsidR="00344779" w:rsidRDefault="00344779" w:rsidP="00344779">
      <w:pPr>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Il n’est pas contesté que l’annexe 26quater litigieuse devant le Conseil du contentieux des étrangers constitue une décision de transfert.</w:t>
      </w:r>
    </w:p>
    <w:p w:rsidR="00344779" w:rsidRPr="00344779" w:rsidRDefault="00344779" w:rsidP="00344779">
      <w:pPr>
        <w:jc w:val="both"/>
        <w:rPr>
          <w:rFonts w:ascii="Palatino Linotype" w:hAnsi="Palatino Linotype" w:cstheme="minorHAnsi"/>
          <w:i/>
          <w:sz w:val="22"/>
          <w:szCs w:val="22"/>
          <w:lang w:val="fr-BE"/>
        </w:rPr>
      </w:pPr>
    </w:p>
    <w:p w:rsidR="00344779" w:rsidRDefault="00344779" w:rsidP="00344779">
      <w:pPr>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 xml:space="preserve">Il n’est pas contesté non plus que ni le recours en annulation prévu par l’article 39/2, § 2, ni le recours en suspension prévu par l’article 39/89 de la loi du 15 décembre 1980 sur l'accès au territoire, le séjour, l'établissement et l'éloignement des étrangers mis en œuvre par M. M. n’ont pour effet de suspendre l’exécution de l’annexe 26quater. C’est d’ailleurs précisément pour ce motif que </w:t>
      </w:r>
      <w:r w:rsidR="00E45C22" w:rsidRPr="00344779">
        <w:rPr>
          <w:rFonts w:ascii="Palatino Linotype" w:hAnsi="Palatino Linotype" w:cstheme="minorHAnsi"/>
          <w:i/>
          <w:sz w:val="22"/>
          <w:szCs w:val="22"/>
          <w:lang w:val="fr-BE"/>
        </w:rPr>
        <w:t xml:space="preserve">FEDASIL </w:t>
      </w:r>
      <w:r w:rsidRPr="00344779">
        <w:rPr>
          <w:rFonts w:ascii="Palatino Linotype" w:hAnsi="Palatino Linotype" w:cstheme="minorHAnsi"/>
          <w:i/>
          <w:sz w:val="22"/>
          <w:szCs w:val="22"/>
          <w:lang w:val="fr-BE"/>
        </w:rPr>
        <w:t>considère être autorisée à transférer les personnes qui ont formé un tel recours vers une « place Dublin ». En réalité, le recours en « suspension » ordinaire, c’est-à-dire tel qu’il a été formé par M. M. et par opposition au recours en suspension en extrême urgence, porte fort mal son nom. Seule la décision qui statuera sur ce recours aura, si elle fait droit à la demande de suspension, pour effet d’empêcher l’exécution de la décision de transfert. Et la loi ne prévoit aucun délai pour traiter une demande en suspension ordinaire.</w:t>
      </w:r>
    </w:p>
    <w:p w:rsidR="00344779" w:rsidRPr="00344779" w:rsidRDefault="00344779" w:rsidP="00344779">
      <w:pPr>
        <w:jc w:val="both"/>
        <w:rPr>
          <w:rFonts w:ascii="Palatino Linotype" w:hAnsi="Palatino Linotype" w:cstheme="minorHAnsi"/>
          <w:i/>
          <w:sz w:val="22"/>
          <w:szCs w:val="22"/>
          <w:lang w:val="fr-BE"/>
        </w:rPr>
      </w:pPr>
    </w:p>
    <w:p w:rsidR="00344779" w:rsidRDefault="00344779" w:rsidP="00344779">
      <w:pPr>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 xml:space="preserve">Néanmoins, l’article 39/82, § 4, de la loi du 15 décembre 1980 sur l'accès au territoire, le séjour, l'établissement et l'éloignement des étrangers prévoit que lorsque l'étranger fait l'objet d'une mesure d'éloignement ou de refoulement dont l'exécution est imminente, il peut demander la suspension de l'exécution de cette mesure en extrême urgence, mais à la condition qu'il n'en ait pas encore demandé la suspension par la voie ordinaire. Si l’étranger avait déjà introduit une demande de suspension ordinaire et que l’exécution de la mesure d’éloignement devient imminente, il peut demander, par voie de mesures provisoires, que le Conseil du contentieux des étrangers statue dans les meilleurs délais sur la demande de suspension ordinaire préalablement introduite. Dès la réception de cette demande, il ne peut plus être procédé à l’exécution forcée de la mesure d’éloignement (articles 39/84 et 39/85 de la même loi). </w:t>
      </w:r>
    </w:p>
    <w:p w:rsidR="00344779" w:rsidRPr="00344779" w:rsidRDefault="00344779" w:rsidP="00344779">
      <w:pPr>
        <w:jc w:val="both"/>
        <w:rPr>
          <w:rFonts w:ascii="Palatino Linotype" w:hAnsi="Palatino Linotype" w:cstheme="minorHAnsi"/>
          <w:i/>
          <w:sz w:val="22"/>
          <w:szCs w:val="22"/>
          <w:lang w:val="fr-BE"/>
        </w:rPr>
      </w:pPr>
    </w:p>
    <w:p w:rsidR="00344779" w:rsidRDefault="00344779" w:rsidP="00344779">
      <w:pPr>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 xml:space="preserve">Si le recours en suspension d’extrême urgence est bel et bien suspensif, il n’est pas accessible dans tous les cas de figure et est subordonné à l’imminence d'une mesure d'éloignement ou de refoulement. Classiquement, les avocats d’étrangers soutiennent que la notion d’imminence est ainsi interprétée par le Conseil du contentieux des étrangers qu’une telle requête n’est déclarée recevable que lorsque l’intéressé a été privé de liberté en vue de son éloignement. Cette thèse a reçu un certain écho dans des décisions de juridictions du travail citées par M. M. En outre, un courrier de l’Office des étrangers du 12 juillet 2019 figurant au dossier de </w:t>
      </w:r>
      <w:r w:rsidR="00E45C22" w:rsidRPr="00344779">
        <w:rPr>
          <w:rFonts w:ascii="Palatino Linotype" w:hAnsi="Palatino Linotype" w:cstheme="minorHAnsi"/>
          <w:i/>
          <w:sz w:val="22"/>
          <w:szCs w:val="22"/>
          <w:lang w:val="fr-BE"/>
        </w:rPr>
        <w:t xml:space="preserve">FEDASIL </w:t>
      </w:r>
      <w:r w:rsidRPr="00344779">
        <w:rPr>
          <w:rFonts w:ascii="Palatino Linotype" w:hAnsi="Palatino Linotype" w:cstheme="minorHAnsi"/>
          <w:i/>
          <w:sz w:val="22"/>
          <w:szCs w:val="22"/>
          <w:lang w:val="fr-BE"/>
        </w:rPr>
        <w:t>(et relatif à un cas similaire) donne comme exemple de péril imminent un « transfert sous la contrainte », ce qui ressemble fort à un euphémisme pour une privation de liberté.</w:t>
      </w:r>
      <w:r w:rsidRPr="00F65952">
        <w:rPr>
          <w:rFonts w:ascii="Palatino Linotype" w:hAnsi="Palatino Linotype" w:cstheme="minorHAnsi"/>
          <w:i/>
          <w:sz w:val="14"/>
          <w:szCs w:val="22"/>
          <w:lang w:val="fr-BE"/>
        </w:rPr>
        <w:footnoteReference w:id="4"/>
      </w:r>
      <w:r w:rsidRPr="00344779">
        <w:rPr>
          <w:rFonts w:ascii="Palatino Linotype" w:hAnsi="Palatino Linotype" w:cstheme="minorHAnsi"/>
          <w:i/>
          <w:sz w:val="22"/>
          <w:szCs w:val="22"/>
          <w:lang w:val="fr-BE"/>
        </w:rPr>
        <w:t xml:space="preserve"> </w:t>
      </w:r>
    </w:p>
    <w:p w:rsidR="00344779" w:rsidRPr="00344779" w:rsidRDefault="00344779" w:rsidP="00344779">
      <w:pPr>
        <w:jc w:val="both"/>
        <w:rPr>
          <w:rFonts w:ascii="Palatino Linotype" w:hAnsi="Palatino Linotype" w:cstheme="minorHAnsi"/>
          <w:i/>
          <w:sz w:val="22"/>
          <w:szCs w:val="22"/>
          <w:lang w:val="fr-BE"/>
        </w:rPr>
      </w:pPr>
    </w:p>
    <w:p w:rsidR="00344779" w:rsidRDefault="00344779" w:rsidP="00344779">
      <w:pPr>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Ce même courrier confirme que l’Office ne sursoit à la mise en œuvre de l’éloignement qu’en cas de demande en suspension en extrême urgence et non en cas de demande de suspension ordinaire. Il ajoute que, en vertu de la jurisprudence du Conseil d’Etat, le transfert vers un autre Etat membre ne ferait pas perdre l’intérêt au recours car en cas d’annulation, la Belgique redeviendrait compétente en cas d’annulation de la décision de transfert.</w:t>
      </w:r>
    </w:p>
    <w:p w:rsidR="00344779" w:rsidRPr="00344779" w:rsidRDefault="00344779" w:rsidP="00344779">
      <w:pPr>
        <w:jc w:val="both"/>
        <w:rPr>
          <w:rFonts w:ascii="Palatino Linotype" w:hAnsi="Palatino Linotype" w:cstheme="minorHAnsi"/>
          <w:i/>
          <w:sz w:val="22"/>
          <w:szCs w:val="22"/>
          <w:lang w:val="fr-BE"/>
        </w:rPr>
      </w:pPr>
    </w:p>
    <w:p w:rsidR="00344779" w:rsidRDefault="00344779" w:rsidP="00344779">
      <w:pPr>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Il est donc acquis que le recours en suspension ordinaire des demandeurs d’asile « </w:t>
      </w:r>
      <w:proofErr w:type="spellStart"/>
      <w:r w:rsidRPr="00344779">
        <w:rPr>
          <w:rFonts w:ascii="Palatino Linotype" w:hAnsi="Palatino Linotype" w:cstheme="minorHAnsi"/>
          <w:i/>
          <w:sz w:val="22"/>
          <w:szCs w:val="22"/>
          <w:lang w:val="fr-BE"/>
        </w:rPr>
        <w:t>dublinés</w:t>
      </w:r>
      <w:proofErr w:type="spellEnd"/>
      <w:r w:rsidRPr="00344779">
        <w:rPr>
          <w:rFonts w:ascii="Palatino Linotype" w:hAnsi="Palatino Linotype" w:cstheme="minorHAnsi"/>
          <w:i/>
          <w:sz w:val="22"/>
          <w:szCs w:val="22"/>
          <w:lang w:val="fr-BE"/>
        </w:rPr>
        <w:t> » qui ne font pas face à une mesure imminente de refoulement n’est donc pas suspensif et que seul le recours en suspension en extrême urgence, soumis à une condition d’imminence, présente ce caractère.</w:t>
      </w:r>
    </w:p>
    <w:p w:rsidR="00344779" w:rsidRPr="00344779" w:rsidRDefault="00344779" w:rsidP="00344779">
      <w:pPr>
        <w:jc w:val="both"/>
        <w:rPr>
          <w:rFonts w:ascii="Palatino Linotype" w:hAnsi="Palatino Linotype" w:cstheme="minorHAnsi"/>
          <w:i/>
          <w:sz w:val="22"/>
          <w:szCs w:val="22"/>
          <w:lang w:val="fr-BE"/>
        </w:rPr>
      </w:pPr>
    </w:p>
    <w:p w:rsidR="00344779" w:rsidRPr="00344779" w:rsidRDefault="00344779" w:rsidP="00344779">
      <w:pPr>
        <w:jc w:val="both"/>
        <w:rPr>
          <w:rFonts w:ascii="Palatino Linotype" w:hAnsi="Palatino Linotype" w:cstheme="minorHAnsi"/>
          <w:i/>
          <w:sz w:val="22"/>
          <w:szCs w:val="22"/>
          <w:lang w:val="fr-BE"/>
        </w:rPr>
      </w:pPr>
      <w:r w:rsidRPr="00344779">
        <w:rPr>
          <w:rFonts w:ascii="Palatino Linotype" w:hAnsi="Palatino Linotype" w:cstheme="minorHAnsi"/>
          <w:i/>
          <w:sz w:val="22"/>
          <w:szCs w:val="22"/>
          <w:lang w:val="fr-BE"/>
        </w:rPr>
        <w:t>Au stade des apparences de droit qui est celui où la Cour se meut, il y a lieu d’admettre que M. M. n’est pas, aussi longtemps qu’il demeure libre d’aller et venir, en position de former un recours suspensif contre la décision de transfert… »</w:t>
      </w:r>
      <w:r w:rsidRPr="00F65952">
        <w:rPr>
          <w:rFonts w:ascii="Palatino Linotype" w:hAnsi="Palatino Linotype" w:cstheme="minorHAnsi"/>
          <w:i/>
          <w:sz w:val="14"/>
          <w:szCs w:val="22"/>
          <w:lang w:val="fr-BE"/>
        </w:rPr>
        <w:footnoteReference w:id="5"/>
      </w:r>
    </w:p>
    <w:p w:rsidR="00344779" w:rsidRDefault="00344779">
      <w:pPr>
        <w:tabs>
          <w:tab w:val="center" w:pos="6372"/>
        </w:tabs>
        <w:suppressAutoHyphens/>
        <w:spacing w:line="240" w:lineRule="atLeast"/>
        <w:jc w:val="both"/>
        <w:rPr>
          <w:rFonts w:ascii="Palatino Linotype" w:hAnsi="Palatino Linotype" w:cstheme="minorHAnsi"/>
          <w:sz w:val="22"/>
          <w:szCs w:val="22"/>
          <w:lang w:val="fr-BE"/>
        </w:rPr>
      </w:pPr>
    </w:p>
    <w:p w:rsidR="00344779" w:rsidRP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Nous en étions à cette analyse</w:t>
      </w:r>
      <w:r w:rsidR="00F65952">
        <w:rPr>
          <w:rFonts w:ascii="Palatino Linotype" w:hAnsi="Palatino Linotype" w:cstheme="minorHAnsi"/>
          <w:sz w:val="22"/>
          <w:szCs w:val="22"/>
          <w:lang w:val="fr-BE"/>
        </w:rPr>
        <w:t>, jusqu’à l’intervention d’une o</w:t>
      </w:r>
      <w:r w:rsidRPr="00344779">
        <w:rPr>
          <w:rFonts w:ascii="Palatino Linotype" w:hAnsi="Palatino Linotype" w:cstheme="minorHAnsi"/>
          <w:sz w:val="22"/>
          <w:szCs w:val="22"/>
          <w:lang w:val="fr-BE"/>
        </w:rPr>
        <w:t>rdonnance de la Cour de Justice de l’Union Européenne du 26</w:t>
      </w:r>
      <w:r w:rsidR="00F65952">
        <w:rPr>
          <w:rFonts w:ascii="Palatino Linotype" w:hAnsi="Palatino Linotype" w:cstheme="minorHAnsi"/>
          <w:sz w:val="22"/>
          <w:szCs w:val="22"/>
          <w:lang w:val="fr-BE"/>
        </w:rPr>
        <w:t>/03/</w:t>
      </w:r>
      <w:r w:rsidRPr="00344779">
        <w:rPr>
          <w:rFonts w:ascii="Palatino Linotype" w:hAnsi="Palatino Linotype" w:cstheme="minorHAnsi"/>
          <w:sz w:val="22"/>
          <w:szCs w:val="22"/>
          <w:lang w:val="fr-BE"/>
        </w:rPr>
        <w:t xml:space="preserve">2021. </w:t>
      </w:r>
    </w:p>
    <w:p w:rsidR="00344779" w:rsidRPr="00053B29" w:rsidRDefault="00344779" w:rsidP="00344779">
      <w:pPr>
        <w:jc w:val="both"/>
        <w:rPr>
          <w:rFonts w:cstheme="minorHAnsi"/>
          <w:lang w:val="fr-BE"/>
        </w:rPr>
      </w:pPr>
    </w:p>
    <w:p w:rsidR="00344779" w:rsidRPr="00B94AE0" w:rsidRDefault="00F65952" w:rsidP="00B94AE0">
      <w:pPr>
        <w:jc w:val="both"/>
        <w:rPr>
          <w:rFonts w:ascii="Palatino Linotype" w:hAnsi="Palatino Linotype" w:cstheme="minorHAnsi"/>
          <w:sz w:val="22"/>
          <w:szCs w:val="22"/>
          <w:lang w:val="fr-BE"/>
        </w:rPr>
      </w:pPr>
      <w:r>
        <w:rPr>
          <w:rFonts w:ascii="Palatino Linotype" w:hAnsi="Palatino Linotype" w:cstheme="minorHAnsi"/>
          <w:sz w:val="22"/>
          <w:szCs w:val="22"/>
          <w:lang w:val="fr-BE"/>
        </w:rPr>
        <w:t>A.2. L’o</w:t>
      </w:r>
      <w:r w:rsidR="00344779" w:rsidRPr="00B94AE0">
        <w:rPr>
          <w:rFonts w:ascii="Palatino Linotype" w:hAnsi="Palatino Linotype" w:cstheme="minorHAnsi"/>
          <w:sz w:val="22"/>
          <w:szCs w:val="22"/>
          <w:lang w:val="fr-BE"/>
        </w:rPr>
        <w:t>rdonnance de la Cour de Justice du 26</w:t>
      </w:r>
      <w:r>
        <w:rPr>
          <w:rFonts w:ascii="Palatino Linotype" w:hAnsi="Palatino Linotype" w:cstheme="minorHAnsi"/>
          <w:sz w:val="22"/>
          <w:szCs w:val="22"/>
          <w:lang w:val="fr-BE"/>
        </w:rPr>
        <w:t>/03/</w:t>
      </w:r>
      <w:r w:rsidR="00344779" w:rsidRPr="00B94AE0">
        <w:rPr>
          <w:rFonts w:ascii="Palatino Linotype" w:hAnsi="Palatino Linotype" w:cstheme="minorHAnsi"/>
          <w:sz w:val="22"/>
          <w:szCs w:val="22"/>
          <w:lang w:val="fr-BE"/>
        </w:rPr>
        <w:t>2021 :</w:t>
      </w:r>
    </w:p>
    <w:p w:rsidR="00344779" w:rsidRPr="00053B29" w:rsidRDefault="00344779" w:rsidP="00344779">
      <w:pPr>
        <w:ind w:left="927"/>
        <w:contextualSpacing/>
        <w:jc w:val="both"/>
        <w:rPr>
          <w:rFonts w:cstheme="minorHAnsi"/>
          <w:lang w:val="fr-BE"/>
        </w:rPr>
      </w:pPr>
    </w:p>
    <w:p w:rsidR="00344779" w:rsidRP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 xml:space="preserve">Par </w:t>
      </w:r>
      <w:r w:rsidR="00F65952">
        <w:rPr>
          <w:rFonts w:ascii="Palatino Linotype" w:hAnsi="Palatino Linotype" w:cstheme="minorHAnsi"/>
          <w:sz w:val="22"/>
          <w:szCs w:val="22"/>
          <w:lang w:val="fr-BE"/>
        </w:rPr>
        <w:t>ordonnance du 26/03/</w:t>
      </w:r>
      <w:r w:rsidRPr="00344779">
        <w:rPr>
          <w:rFonts w:ascii="Palatino Linotype" w:hAnsi="Palatino Linotype" w:cstheme="minorHAnsi"/>
          <w:sz w:val="22"/>
          <w:szCs w:val="22"/>
          <w:lang w:val="fr-BE"/>
        </w:rPr>
        <w:t>2021</w:t>
      </w:r>
      <w:r w:rsidRPr="00F65952">
        <w:rPr>
          <w:rFonts w:ascii="Palatino Linotype" w:hAnsi="Palatino Linotype" w:cstheme="minorHAnsi"/>
          <w:sz w:val="12"/>
          <w:szCs w:val="22"/>
          <w:lang w:val="fr-BE"/>
        </w:rPr>
        <w:footnoteReference w:id="6"/>
      </w:r>
      <w:r w:rsidRPr="00F65952">
        <w:rPr>
          <w:rFonts w:ascii="Palatino Linotype" w:hAnsi="Palatino Linotype" w:cstheme="minorHAnsi"/>
          <w:sz w:val="12"/>
          <w:szCs w:val="22"/>
          <w:lang w:val="fr-BE"/>
        </w:rPr>
        <w:t>,</w:t>
      </w:r>
      <w:r w:rsidRPr="00344779">
        <w:rPr>
          <w:rFonts w:ascii="Palatino Linotype" w:hAnsi="Palatino Linotype" w:cstheme="minorHAnsi"/>
          <w:sz w:val="22"/>
          <w:szCs w:val="22"/>
          <w:lang w:val="fr-BE"/>
        </w:rPr>
        <w:t xml:space="preserve"> la Cour de Justice de l’Union Européenne a répondu à deux questions préjudicielles posées par le Tribunal du Travail de Liège, division Liège, notamment en concluant de la sorte : </w:t>
      </w:r>
    </w:p>
    <w:p w:rsidR="00344779" w:rsidRPr="00E45C22" w:rsidRDefault="00344779" w:rsidP="00344779">
      <w:pPr>
        <w:spacing w:before="100" w:beforeAutospacing="1" w:after="100" w:afterAutospacing="1"/>
        <w:jc w:val="both"/>
        <w:rPr>
          <w:rFonts w:ascii="Palatino Linotype" w:hAnsi="Palatino Linotype" w:cstheme="minorHAnsi"/>
          <w:bCs/>
          <w:i/>
          <w:sz w:val="22"/>
          <w:lang w:val="fr-BE" w:eastAsia="en-GB"/>
        </w:rPr>
      </w:pPr>
      <w:r w:rsidRPr="00E45C22">
        <w:rPr>
          <w:rFonts w:ascii="Palatino Linotype" w:hAnsi="Palatino Linotype" w:cstheme="minorHAnsi"/>
          <w:bCs/>
          <w:i/>
          <w:sz w:val="22"/>
          <w:lang w:val="fr-BE" w:eastAsia="en-GB"/>
        </w:rPr>
        <w:t>« L’article 27 du règlement (UE) n</w:t>
      </w:r>
      <w:r w:rsidRPr="00E45C22">
        <w:rPr>
          <w:rFonts w:ascii="Palatino Linotype" w:hAnsi="Palatino Linotype" w:cstheme="minorHAnsi"/>
          <w:bCs/>
          <w:i/>
          <w:sz w:val="22"/>
          <w:vertAlign w:val="superscript"/>
          <w:lang w:val="fr-BE" w:eastAsia="en-GB"/>
        </w:rPr>
        <w:t>o</w:t>
      </w:r>
      <w:r w:rsidRPr="00E45C22">
        <w:rPr>
          <w:rFonts w:ascii="Palatino Linotype" w:hAnsi="Palatino Linotype" w:cstheme="minorHAnsi"/>
          <w:bCs/>
          <w:i/>
          <w:sz w:val="22"/>
          <w:lang w:val="fr-BE" w:eastAsia="en-GB"/>
        </w:rPr>
        <w:t> 604/2013 du Parlement européen et du Conseil, du 26 juin 2013, établissant les critères et mécanismes de détermination de l’État membre responsable de l’examen d’une demande de protection internationale introduite dans l’un des États membres par un ressortissant de pays tiers ou un apatride, doit être interprété en ce sens qu’il ne s’oppose pas à ce qu’un État membre adopte, à l’égard d’un demandeur ayant introduit un recours contre une décision de transfert vers un autre État membre au sens de l’article 26, paragraphe 1, de ce règlement, des mesures préparatoires à ce transfert, telles que l’attribution d’une place dans une structure d’accueil spécifique au sein de laquelle les personnes hébergées bénéficient d’un accompagnement pour préparer leur transfert. »</w:t>
      </w:r>
    </w:p>
    <w:p w:rsidR="00344779" w:rsidRPr="006E5970" w:rsidRDefault="00344779" w:rsidP="00344779">
      <w:pPr>
        <w:jc w:val="both"/>
        <w:rPr>
          <w:rFonts w:ascii="Palatino Linotype" w:hAnsi="Palatino Linotype" w:cstheme="minorHAnsi"/>
          <w:sz w:val="22"/>
          <w:szCs w:val="22"/>
          <w:lang w:val="fr-BE"/>
        </w:rPr>
      </w:pPr>
      <w:r w:rsidRPr="006E5970">
        <w:rPr>
          <w:rFonts w:ascii="Palatino Linotype" w:hAnsi="Palatino Linotype" w:cstheme="minorHAnsi"/>
          <w:sz w:val="22"/>
          <w:szCs w:val="22"/>
          <w:lang w:val="fr-BE"/>
        </w:rPr>
        <w:t>Si cette réponse permet, certes, de faire avancer la réflexion à propos des décisions de modification du code 207 au bénéfice d’un demandeur de prot</w:t>
      </w:r>
      <w:r w:rsidR="006E5970" w:rsidRPr="006E5970">
        <w:rPr>
          <w:rFonts w:ascii="Palatino Linotype" w:hAnsi="Palatino Linotype" w:cstheme="minorHAnsi"/>
          <w:sz w:val="22"/>
          <w:szCs w:val="22"/>
          <w:lang w:val="fr-BE"/>
        </w:rPr>
        <w:t>ection internationale «</w:t>
      </w:r>
      <w:proofErr w:type="spellStart"/>
      <w:r w:rsidR="006E5970" w:rsidRPr="006E5970">
        <w:rPr>
          <w:rFonts w:ascii="Palatino Linotype" w:hAnsi="Palatino Linotype" w:cstheme="minorHAnsi"/>
          <w:sz w:val="22"/>
          <w:szCs w:val="22"/>
          <w:lang w:val="fr-BE"/>
        </w:rPr>
        <w:t>dubliné</w:t>
      </w:r>
      <w:proofErr w:type="spellEnd"/>
      <w:r w:rsidRPr="006E5970">
        <w:rPr>
          <w:rFonts w:ascii="Palatino Linotype" w:hAnsi="Palatino Linotype" w:cstheme="minorHAnsi"/>
          <w:sz w:val="22"/>
          <w:szCs w:val="22"/>
          <w:lang w:val="fr-BE"/>
        </w:rPr>
        <w:t>», vers un centre proposant « des places retour », il convient toutefois de relever que l’arrêt en question prend, tout de même, quelques précautions dans sa motivation.</w:t>
      </w:r>
    </w:p>
    <w:p w:rsidR="00344779" w:rsidRDefault="00344779" w:rsidP="00344779">
      <w:pPr>
        <w:ind w:left="720"/>
        <w:contextualSpacing/>
        <w:jc w:val="both"/>
        <w:rPr>
          <w:rFonts w:cstheme="minorHAnsi"/>
          <w:lang w:val="fr-BE"/>
        </w:rPr>
      </w:pPr>
    </w:p>
    <w:p w:rsidR="00344779" w:rsidRPr="00344779" w:rsidRDefault="00344779" w:rsidP="00344779">
      <w:pPr>
        <w:rPr>
          <w:rFonts w:ascii="Palatino Linotype" w:hAnsi="Palatino Linotype" w:cstheme="minorHAnsi"/>
          <w:sz w:val="22"/>
          <w:szCs w:val="22"/>
          <w:lang w:val="fr-BE"/>
        </w:rPr>
      </w:pPr>
      <w:r w:rsidRPr="00344779">
        <w:rPr>
          <w:rFonts w:ascii="Palatino Linotype" w:hAnsi="Palatino Linotype" w:cstheme="minorHAnsi"/>
          <w:sz w:val="22"/>
          <w:szCs w:val="22"/>
          <w:lang w:val="fr-BE"/>
        </w:rPr>
        <w:t>Ainsi, en son paragraphe n°37, la Cour reprend :</w:t>
      </w:r>
    </w:p>
    <w:p w:rsidR="00344779" w:rsidRPr="006E5970" w:rsidRDefault="00344779" w:rsidP="00344779">
      <w:pPr>
        <w:jc w:val="both"/>
        <w:rPr>
          <w:rFonts w:ascii="Palatino Linotype" w:hAnsi="Palatino Linotype" w:cstheme="minorHAnsi"/>
          <w:i/>
          <w:sz w:val="22"/>
          <w:lang w:val="fr-BE"/>
        </w:rPr>
      </w:pPr>
      <w:r w:rsidRPr="006E5970">
        <w:rPr>
          <w:rFonts w:ascii="Palatino Linotype" w:hAnsi="Palatino Linotype" w:cstheme="minorHAnsi"/>
          <w:i/>
          <w:color w:val="000000"/>
          <w:sz w:val="22"/>
          <w:lang w:val="fr-BE"/>
        </w:rPr>
        <w:t>«  En effet, de telles mesures doivent être regardées non comme des mesures d’exécution du transfert mais comme des mesures préparatoires à la procédure d’exécution, dès lors que leur mise en œuvre n’aboutit pas à ce que la personne concernée quitte le territoire de l’État membre requérant. Du reste, elles ne portent pas atteinte à la liberté du demandeur d’aller et venir, ni à l’exercice des droits procéduraux que celui-ci tire du règlement Dublin III. »</w:t>
      </w:r>
      <w:r w:rsidRPr="006E5970">
        <w:rPr>
          <w:rFonts w:ascii="Palatino Linotype" w:hAnsi="Palatino Linotype" w:cstheme="minorHAnsi"/>
          <w:i/>
          <w:sz w:val="22"/>
          <w:lang w:val="fr-BE"/>
        </w:rPr>
        <w:t xml:space="preserve"> </w:t>
      </w:r>
    </w:p>
    <w:p w:rsidR="00344779" w:rsidRPr="00053B29" w:rsidRDefault="00344779" w:rsidP="00344779">
      <w:pPr>
        <w:ind w:left="720"/>
        <w:contextualSpacing/>
        <w:jc w:val="both"/>
        <w:rPr>
          <w:rFonts w:cstheme="minorHAnsi"/>
          <w:i/>
          <w:lang w:val="fr-BE"/>
        </w:rPr>
      </w:pPr>
    </w:p>
    <w:p w:rsidR="00344779" w:rsidRP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Le considérant n°43 porte notamment que :</w:t>
      </w:r>
    </w:p>
    <w:p w:rsidR="00344779" w:rsidRDefault="00344779" w:rsidP="00344779">
      <w:pPr>
        <w:jc w:val="both"/>
        <w:rPr>
          <w:rFonts w:ascii="Palatino Linotype" w:hAnsi="Palatino Linotype" w:cstheme="minorHAnsi"/>
          <w:i/>
          <w:sz w:val="22"/>
          <w:lang w:val="fr-BE"/>
        </w:rPr>
      </w:pPr>
      <w:r w:rsidRPr="00344779">
        <w:rPr>
          <w:rFonts w:ascii="Palatino Linotype" w:hAnsi="Palatino Linotype" w:cstheme="minorHAnsi"/>
          <w:i/>
          <w:sz w:val="22"/>
          <w:lang w:val="fr-BE"/>
        </w:rPr>
        <w:t>« il ne saurait être fait grief à l’État membre requérant de considérer que le changement de logement du demandeur est nécessaire du fait de la modification de sa situation administrative »</w:t>
      </w:r>
    </w:p>
    <w:p w:rsidR="00344779" w:rsidRPr="00344779" w:rsidRDefault="00344779" w:rsidP="00344779">
      <w:pPr>
        <w:jc w:val="both"/>
        <w:rPr>
          <w:rFonts w:ascii="Palatino Linotype" w:hAnsi="Palatino Linotype" w:cstheme="minorHAnsi"/>
          <w:i/>
          <w:sz w:val="22"/>
          <w:lang w:val="fr-BE"/>
        </w:rPr>
      </w:pPr>
    </w:p>
    <w:p w:rsidR="00344779" w:rsidRP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Et la Cour de poursuivre,  dans le paragraphe n°44 :</w:t>
      </w:r>
    </w:p>
    <w:p w:rsidR="00344779" w:rsidRDefault="00344779" w:rsidP="00344779">
      <w:pPr>
        <w:jc w:val="both"/>
        <w:rPr>
          <w:rFonts w:ascii="Palatino Linotype" w:hAnsi="Palatino Linotype" w:cstheme="minorHAnsi"/>
          <w:i/>
          <w:color w:val="000000"/>
          <w:sz w:val="22"/>
          <w:lang w:val="fr-BE"/>
        </w:rPr>
      </w:pPr>
      <w:r w:rsidRPr="00344779">
        <w:rPr>
          <w:rFonts w:ascii="Palatino Linotype" w:hAnsi="Palatino Linotype" w:cstheme="minorHAnsi"/>
          <w:i/>
          <w:color w:val="000000"/>
          <w:sz w:val="22"/>
          <w:lang w:val="fr-BE"/>
        </w:rPr>
        <w:t>« Cela étant, il convient de préciser que les informations fournies aux demandeurs et les entretiens réalisés avec ceux-ci dans le centre d’accueil ouvert vers lequel ils ont été dirigés ne peuvent être tels qu’ils seraient susceptibles d’exercer une pression indue sur les demandeurs de protection internationale afin qu’ils renoncent à exercer leurs droits procéduraux qu’ils tirent du règlement Dublin III. »</w:t>
      </w:r>
    </w:p>
    <w:p w:rsidR="00344779" w:rsidRPr="00344779" w:rsidRDefault="00344779" w:rsidP="00344779">
      <w:pPr>
        <w:jc w:val="both"/>
        <w:rPr>
          <w:rFonts w:ascii="Palatino Linotype" w:hAnsi="Palatino Linotype" w:cstheme="minorHAnsi"/>
          <w:i/>
          <w:sz w:val="22"/>
          <w:lang w:val="fr-BE"/>
        </w:rPr>
      </w:pPr>
    </w:p>
    <w:p w:rsidR="00344779" w:rsidRDefault="006E5970" w:rsidP="00344779">
      <w:pPr>
        <w:jc w:val="both"/>
        <w:rPr>
          <w:rFonts w:ascii="Palatino Linotype" w:hAnsi="Palatino Linotype" w:cstheme="minorHAnsi"/>
          <w:sz w:val="22"/>
          <w:szCs w:val="22"/>
          <w:lang w:val="fr-BE"/>
        </w:rPr>
      </w:pPr>
      <w:r>
        <w:rPr>
          <w:rFonts w:ascii="Palatino Linotype" w:hAnsi="Palatino Linotype" w:cstheme="minorHAnsi"/>
          <w:sz w:val="22"/>
          <w:szCs w:val="22"/>
          <w:lang w:val="fr-BE"/>
        </w:rPr>
        <w:t>Le T</w:t>
      </w:r>
      <w:r w:rsidR="00344779" w:rsidRPr="00344779">
        <w:rPr>
          <w:rFonts w:ascii="Palatino Linotype" w:hAnsi="Palatino Linotype" w:cstheme="minorHAnsi"/>
          <w:sz w:val="22"/>
          <w:szCs w:val="22"/>
          <w:lang w:val="fr-BE"/>
        </w:rPr>
        <w:t>ribunal conclu donc à ce que l’articl</w:t>
      </w:r>
      <w:r>
        <w:rPr>
          <w:rFonts w:ascii="Palatino Linotype" w:hAnsi="Palatino Linotype" w:cstheme="minorHAnsi"/>
          <w:sz w:val="22"/>
          <w:szCs w:val="22"/>
          <w:lang w:val="fr-BE"/>
        </w:rPr>
        <w:t>e 27 du règlement UE Dublin III</w:t>
      </w:r>
      <w:r w:rsidR="00344779" w:rsidRPr="00344779">
        <w:rPr>
          <w:rFonts w:ascii="Palatino Linotype" w:hAnsi="Palatino Linotype" w:cstheme="minorHAnsi"/>
          <w:sz w:val="22"/>
          <w:szCs w:val="22"/>
          <w:lang w:val="fr-BE"/>
        </w:rPr>
        <w:t xml:space="preserve"> ne s’oppose</w:t>
      </w:r>
      <w:r w:rsidR="00344779" w:rsidRPr="00053B29">
        <w:rPr>
          <w:rFonts w:cstheme="minorHAnsi"/>
          <w:lang w:val="fr-BE"/>
        </w:rPr>
        <w:t xml:space="preserve"> </w:t>
      </w:r>
      <w:r w:rsidR="00344779" w:rsidRPr="00344779">
        <w:rPr>
          <w:rFonts w:ascii="Palatino Linotype" w:hAnsi="Palatino Linotype" w:cstheme="minorHAnsi"/>
          <w:sz w:val="22"/>
          <w:szCs w:val="22"/>
          <w:lang w:val="fr-BE"/>
        </w:rPr>
        <w:t>pas à un transfert d’un demandeur de protection internationale « </w:t>
      </w:r>
      <w:proofErr w:type="spellStart"/>
      <w:r w:rsidR="00344779" w:rsidRPr="00344779">
        <w:rPr>
          <w:rFonts w:ascii="Palatino Linotype" w:hAnsi="Palatino Linotype" w:cstheme="minorHAnsi"/>
          <w:sz w:val="22"/>
          <w:szCs w:val="22"/>
          <w:lang w:val="fr-BE"/>
        </w:rPr>
        <w:t>dubliné</w:t>
      </w:r>
      <w:proofErr w:type="spellEnd"/>
      <w:r>
        <w:rPr>
          <w:rFonts w:ascii="Palatino Linotype" w:hAnsi="Palatino Linotype" w:cstheme="minorHAnsi"/>
          <w:sz w:val="22"/>
          <w:szCs w:val="22"/>
          <w:lang w:val="fr-BE"/>
        </w:rPr>
        <w:t> »</w:t>
      </w:r>
      <w:r w:rsidR="00344779" w:rsidRPr="00344779">
        <w:rPr>
          <w:rFonts w:ascii="Palatino Linotype" w:hAnsi="Palatino Linotype" w:cstheme="minorHAnsi"/>
          <w:sz w:val="22"/>
          <w:szCs w:val="22"/>
          <w:lang w:val="fr-BE"/>
        </w:rPr>
        <w:t xml:space="preserve"> vers une « place retour » dans un centre ouvert, dans le contexte d’un recours efficace déjà introduit devant le C.C.E., sans toutefois que la procédure d’information ne puisse aboutir à l’exercice de pressions indues, qui amèneraient à voir l’exercice de leurs droits procéduraux réduits, voir à les y faire renoncer, même de fait.</w:t>
      </w:r>
    </w:p>
    <w:p w:rsidR="00344779" w:rsidRPr="00344779" w:rsidRDefault="00344779" w:rsidP="00344779">
      <w:pPr>
        <w:jc w:val="both"/>
        <w:rPr>
          <w:rFonts w:ascii="Palatino Linotype" w:hAnsi="Palatino Linotype" w:cstheme="minorHAnsi"/>
          <w:sz w:val="22"/>
          <w:szCs w:val="22"/>
          <w:lang w:val="fr-BE"/>
        </w:rPr>
      </w:pPr>
    </w:p>
    <w:p w:rsidR="00344779" w:rsidRDefault="006E5970" w:rsidP="00344779">
      <w:pPr>
        <w:jc w:val="both"/>
        <w:rPr>
          <w:rFonts w:ascii="Palatino Linotype" w:hAnsi="Palatino Linotype" w:cstheme="minorHAnsi"/>
          <w:sz w:val="22"/>
          <w:szCs w:val="22"/>
          <w:lang w:val="fr-BE"/>
        </w:rPr>
      </w:pPr>
      <w:r>
        <w:rPr>
          <w:rFonts w:ascii="Palatino Linotype" w:hAnsi="Palatino Linotype" w:cstheme="minorHAnsi"/>
          <w:sz w:val="22"/>
          <w:szCs w:val="22"/>
          <w:lang w:val="fr-BE"/>
        </w:rPr>
        <w:t>Le T</w:t>
      </w:r>
      <w:r w:rsidR="00344779" w:rsidRPr="00344779">
        <w:rPr>
          <w:rFonts w:ascii="Palatino Linotype" w:hAnsi="Palatino Linotype" w:cstheme="minorHAnsi"/>
          <w:sz w:val="22"/>
          <w:szCs w:val="22"/>
          <w:lang w:val="fr-BE"/>
        </w:rPr>
        <w:t>ribunal prend également note de ce que l’</w:t>
      </w:r>
      <w:r>
        <w:rPr>
          <w:rFonts w:ascii="Palatino Linotype" w:hAnsi="Palatino Linotype" w:cstheme="minorHAnsi"/>
          <w:sz w:val="22"/>
          <w:szCs w:val="22"/>
          <w:lang w:val="fr-BE"/>
        </w:rPr>
        <w:t>ordonnance du 26/03/</w:t>
      </w:r>
      <w:r w:rsidR="00344779" w:rsidRPr="00344779">
        <w:rPr>
          <w:rFonts w:ascii="Palatino Linotype" w:hAnsi="Palatino Linotype" w:cstheme="minorHAnsi"/>
          <w:sz w:val="22"/>
          <w:szCs w:val="22"/>
          <w:lang w:val="fr-BE"/>
        </w:rPr>
        <w:t>2021, en sa description du droit belge applicable, reprend d</w:t>
      </w:r>
      <w:r>
        <w:rPr>
          <w:rFonts w:ascii="Palatino Linotype" w:hAnsi="Palatino Linotype" w:cstheme="minorHAnsi"/>
          <w:sz w:val="22"/>
          <w:szCs w:val="22"/>
          <w:lang w:val="fr-BE"/>
        </w:rPr>
        <w:t>es dispositions de la loi du 15/12/</w:t>
      </w:r>
      <w:r w:rsidR="00344779" w:rsidRPr="00344779">
        <w:rPr>
          <w:rFonts w:ascii="Palatino Linotype" w:hAnsi="Palatino Linotype" w:cstheme="minorHAnsi"/>
          <w:sz w:val="22"/>
          <w:szCs w:val="22"/>
          <w:lang w:val="fr-BE"/>
        </w:rPr>
        <w:t>1980, et fait référence aux l’ar</w:t>
      </w:r>
      <w:r>
        <w:rPr>
          <w:rFonts w:ascii="Palatino Linotype" w:hAnsi="Palatino Linotype" w:cstheme="minorHAnsi"/>
          <w:sz w:val="22"/>
          <w:szCs w:val="22"/>
          <w:lang w:val="fr-BE"/>
        </w:rPr>
        <w:t>ticles 11 et 12 de la loi du 12/01/</w:t>
      </w:r>
      <w:r w:rsidR="00344779" w:rsidRPr="00344779">
        <w:rPr>
          <w:rFonts w:ascii="Palatino Linotype" w:hAnsi="Palatino Linotype" w:cstheme="minorHAnsi"/>
          <w:sz w:val="22"/>
          <w:szCs w:val="22"/>
          <w:lang w:val="fr-BE"/>
        </w:rPr>
        <w:t>2007</w:t>
      </w:r>
      <w:r w:rsidR="00344779" w:rsidRPr="006E5970">
        <w:rPr>
          <w:rFonts w:ascii="Palatino Linotype" w:hAnsi="Palatino Linotype" w:cstheme="minorHAnsi"/>
          <w:sz w:val="12"/>
          <w:szCs w:val="22"/>
          <w:lang w:val="fr-BE"/>
        </w:rPr>
        <w:footnoteReference w:id="7"/>
      </w:r>
      <w:r w:rsidR="00344779" w:rsidRPr="006E5970">
        <w:rPr>
          <w:rFonts w:ascii="Palatino Linotype" w:hAnsi="Palatino Linotype" w:cstheme="minorHAnsi"/>
          <w:sz w:val="12"/>
          <w:szCs w:val="22"/>
          <w:lang w:val="fr-BE"/>
        </w:rPr>
        <w:t>.</w:t>
      </w:r>
    </w:p>
    <w:p w:rsidR="00344779" w:rsidRPr="00344779" w:rsidRDefault="00344779" w:rsidP="00344779">
      <w:pPr>
        <w:jc w:val="both"/>
        <w:rPr>
          <w:rFonts w:ascii="Palatino Linotype" w:hAnsi="Palatino Linotype" w:cstheme="minorHAnsi"/>
          <w:sz w:val="22"/>
          <w:szCs w:val="22"/>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 xml:space="preserve">Il ne porte aucune référence à la circulaire de </w:t>
      </w:r>
      <w:r w:rsidR="00E45C22" w:rsidRPr="00344779">
        <w:rPr>
          <w:rFonts w:ascii="Palatino Linotype" w:hAnsi="Palatino Linotype" w:cstheme="minorHAnsi"/>
          <w:sz w:val="22"/>
          <w:szCs w:val="22"/>
          <w:lang w:val="fr-BE"/>
        </w:rPr>
        <w:t>F</w:t>
      </w:r>
      <w:r w:rsidR="00E45C22">
        <w:rPr>
          <w:rFonts w:ascii="Palatino Linotype" w:hAnsi="Palatino Linotype" w:cstheme="minorHAnsi"/>
          <w:sz w:val="22"/>
          <w:szCs w:val="22"/>
          <w:lang w:val="fr-BE"/>
        </w:rPr>
        <w:t xml:space="preserve">EDASIL </w:t>
      </w:r>
      <w:r w:rsidR="006E5970">
        <w:rPr>
          <w:rFonts w:ascii="Palatino Linotype" w:hAnsi="Palatino Linotype" w:cstheme="minorHAnsi"/>
          <w:sz w:val="22"/>
          <w:szCs w:val="22"/>
          <w:lang w:val="fr-BE"/>
        </w:rPr>
        <w:t>de 22/09/</w:t>
      </w:r>
      <w:r w:rsidRPr="00344779">
        <w:rPr>
          <w:rFonts w:ascii="Palatino Linotype" w:hAnsi="Palatino Linotype" w:cstheme="minorHAnsi"/>
          <w:sz w:val="22"/>
          <w:szCs w:val="22"/>
          <w:lang w:val="fr-BE"/>
        </w:rPr>
        <w:t>2020.</w:t>
      </w:r>
    </w:p>
    <w:p w:rsidR="00344779" w:rsidRPr="00344779" w:rsidRDefault="00344779" w:rsidP="00344779">
      <w:pPr>
        <w:jc w:val="both"/>
        <w:rPr>
          <w:rFonts w:ascii="Palatino Linotype" w:hAnsi="Palatino Linotype" w:cstheme="minorHAnsi"/>
          <w:sz w:val="22"/>
          <w:szCs w:val="22"/>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Cela attire l’attention, puisque les difficultés d’application actuelles se cristallisent autour des modalités de l’accueil « en place retour », telles que mo</w:t>
      </w:r>
      <w:r w:rsidR="006E5970">
        <w:rPr>
          <w:rFonts w:ascii="Palatino Linotype" w:hAnsi="Palatino Linotype" w:cstheme="minorHAnsi"/>
          <w:sz w:val="22"/>
          <w:szCs w:val="22"/>
          <w:lang w:val="fr-BE"/>
        </w:rPr>
        <w:t>dalisées par cette circulaire (</w:t>
      </w:r>
      <w:r w:rsidRPr="00344779">
        <w:rPr>
          <w:rFonts w:ascii="Palatino Linotype" w:hAnsi="Palatino Linotype" w:cstheme="minorHAnsi"/>
          <w:sz w:val="22"/>
          <w:szCs w:val="22"/>
          <w:lang w:val="fr-BE"/>
        </w:rPr>
        <w:t>et complétée</w:t>
      </w:r>
      <w:r w:rsidR="006E5970">
        <w:rPr>
          <w:rFonts w:ascii="Palatino Linotype" w:hAnsi="Palatino Linotype" w:cstheme="minorHAnsi"/>
          <w:sz w:val="22"/>
          <w:szCs w:val="22"/>
          <w:lang w:val="fr-BE"/>
        </w:rPr>
        <w:t>s</w:t>
      </w:r>
      <w:r w:rsidRPr="00344779">
        <w:rPr>
          <w:rFonts w:ascii="Palatino Linotype" w:hAnsi="Palatino Linotype" w:cstheme="minorHAnsi"/>
          <w:sz w:val="22"/>
          <w:szCs w:val="22"/>
          <w:lang w:val="fr-BE"/>
        </w:rPr>
        <w:t xml:space="preserve"> depuis lors par un « guide pratique »).   </w:t>
      </w:r>
    </w:p>
    <w:p w:rsidR="00344779" w:rsidRPr="00344779" w:rsidRDefault="00344779" w:rsidP="00344779">
      <w:pPr>
        <w:jc w:val="both"/>
        <w:rPr>
          <w:rFonts w:ascii="Palatino Linotype" w:hAnsi="Palatino Linotype" w:cstheme="minorHAnsi"/>
          <w:sz w:val="22"/>
          <w:szCs w:val="22"/>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Dans ces circonstances, selon le Tribunal, l’enseignement de l’</w:t>
      </w:r>
      <w:r w:rsidR="006E5970">
        <w:rPr>
          <w:rFonts w:ascii="Palatino Linotype" w:hAnsi="Palatino Linotype" w:cstheme="minorHAnsi"/>
          <w:sz w:val="22"/>
          <w:szCs w:val="22"/>
          <w:lang w:val="fr-BE"/>
        </w:rPr>
        <w:t>ordonnance du 26/03/</w:t>
      </w:r>
      <w:r w:rsidRPr="00344779">
        <w:rPr>
          <w:rFonts w:ascii="Palatino Linotype" w:hAnsi="Palatino Linotype" w:cstheme="minorHAnsi"/>
          <w:sz w:val="22"/>
          <w:szCs w:val="22"/>
          <w:lang w:val="fr-BE"/>
        </w:rPr>
        <w:t xml:space="preserve">2021 de la CJUE est bien difficile à apprécier dans sa portée.  </w:t>
      </w:r>
    </w:p>
    <w:p w:rsidR="006E5970" w:rsidRPr="00344779" w:rsidRDefault="006E5970" w:rsidP="00344779">
      <w:pPr>
        <w:jc w:val="both"/>
        <w:rPr>
          <w:rFonts w:ascii="Palatino Linotype" w:hAnsi="Palatino Linotype" w:cstheme="minorHAnsi"/>
          <w:sz w:val="22"/>
          <w:szCs w:val="22"/>
          <w:lang w:val="fr-BE"/>
        </w:rPr>
      </w:pPr>
    </w:p>
    <w:p w:rsidR="00344779" w:rsidRP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 xml:space="preserve">Cette difficulté est encore renforcée par les incertitudes liées à l’interprétation du droit </w:t>
      </w:r>
      <w:r w:rsidR="006E5970">
        <w:rPr>
          <w:rFonts w:ascii="Palatino Linotype" w:hAnsi="Palatino Linotype" w:cstheme="minorHAnsi"/>
          <w:sz w:val="22"/>
          <w:szCs w:val="22"/>
          <w:lang w:val="fr-BE"/>
        </w:rPr>
        <w:t>b</w:t>
      </w:r>
      <w:r w:rsidRPr="00344779">
        <w:rPr>
          <w:rFonts w:ascii="Palatino Linotype" w:hAnsi="Palatino Linotype" w:cstheme="minorHAnsi"/>
          <w:sz w:val="22"/>
          <w:szCs w:val="22"/>
          <w:lang w:val="fr-BE"/>
        </w:rPr>
        <w:t>elge, par la CJUE, lorsque l’on s’attarde</w:t>
      </w:r>
      <w:r w:rsidR="006E5970">
        <w:rPr>
          <w:rFonts w:ascii="Palatino Linotype" w:hAnsi="Palatino Linotype" w:cstheme="minorHAnsi"/>
          <w:sz w:val="22"/>
          <w:szCs w:val="22"/>
          <w:lang w:val="fr-BE"/>
        </w:rPr>
        <w:t xml:space="preserve"> à la lecture du considérant n°</w:t>
      </w:r>
      <w:r w:rsidRPr="00344779">
        <w:rPr>
          <w:rFonts w:ascii="Palatino Linotype" w:hAnsi="Palatino Linotype" w:cstheme="minorHAnsi"/>
          <w:sz w:val="22"/>
          <w:szCs w:val="22"/>
          <w:lang w:val="fr-BE"/>
        </w:rPr>
        <w:t>40 :</w:t>
      </w:r>
    </w:p>
    <w:p w:rsidR="00344779" w:rsidRPr="00344779" w:rsidRDefault="00344779" w:rsidP="00344779">
      <w:pPr>
        <w:autoSpaceDE w:val="0"/>
        <w:autoSpaceDN w:val="0"/>
        <w:adjustRightInd w:val="0"/>
        <w:jc w:val="both"/>
        <w:rPr>
          <w:rFonts w:ascii="Palatino Linotype" w:hAnsi="Palatino Linotype" w:cstheme="minorHAnsi"/>
          <w:i/>
          <w:color w:val="000000"/>
          <w:sz w:val="22"/>
          <w:lang w:val="fr-BE"/>
        </w:rPr>
      </w:pPr>
      <w:r w:rsidRPr="00344779">
        <w:rPr>
          <w:rFonts w:ascii="Palatino Linotype" w:hAnsi="Palatino Linotype" w:cstheme="minorHAnsi"/>
          <w:i/>
          <w:color w:val="000000"/>
          <w:sz w:val="22"/>
          <w:lang w:val="fr-BE"/>
        </w:rPr>
        <w:t xml:space="preserve">« Ainsi, l’adoption de mesures préparatoires au transfert apparaît être en cohérence avec les dispositions de l’article 29 du règlement Dublin III, en ce que lesdites mesures ont pour objet de préparer le transfert du demandeur dans les meilleurs délais en cas de rejet de son recours contre la décision de transfert. » </w:t>
      </w:r>
    </w:p>
    <w:p w:rsidR="00344779" w:rsidRPr="00053B29" w:rsidRDefault="00344779" w:rsidP="00344779">
      <w:pPr>
        <w:ind w:left="927"/>
        <w:contextualSpacing/>
        <w:rPr>
          <w:rFonts w:cstheme="minorHAnsi"/>
          <w:i/>
          <w:u w:val="single"/>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 xml:space="preserve">La lecture de cette phrase laisse penser que la Cour de Luxembourg interprète </w:t>
      </w:r>
      <w:r w:rsidR="006E5970">
        <w:rPr>
          <w:rFonts w:ascii="Palatino Linotype" w:hAnsi="Palatino Linotype" w:cstheme="minorHAnsi"/>
          <w:sz w:val="22"/>
          <w:szCs w:val="22"/>
          <w:lang w:val="fr-BE"/>
        </w:rPr>
        <w:t xml:space="preserve">le </w:t>
      </w:r>
      <w:r w:rsidRPr="00344779">
        <w:rPr>
          <w:rFonts w:ascii="Palatino Linotype" w:hAnsi="Palatino Linotype" w:cstheme="minorHAnsi"/>
          <w:sz w:val="22"/>
          <w:szCs w:val="22"/>
          <w:lang w:val="fr-BE"/>
        </w:rPr>
        <w:t>droit belge en ce que le transfert ne sera effectif que lorsque le recours contre la décision de transfert sera tranché.</w:t>
      </w:r>
    </w:p>
    <w:p w:rsidR="00344779" w:rsidRPr="00344779" w:rsidRDefault="00344779" w:rsidP="00344779">
      <w:pPr>
        <w:jc w:val="both"/>
        <w:rPr>
          <w:rFonts w:ascii="Palatino Linotype" w:hAnsi="Palatino Linotype" w:cstheme="minorHAnsi"/>
          <w:sz w:val="22"/>
          <w:szCs w:val="22"/>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 xml:space="preserve">C’est pourtant là que se pose le problème substantiel du système belge : le demandeur de protection internationale </w:t>
      </w:r>
      <w:proofErr w:type="spellStart"/>
      <w:r w:rsidR="006E5970">
        <w:rPr>
          <w:rFonts w:ascii="Palatino Linotype" w:hAnsi="Palatino Linotype" w:cstheme="minorHAnsi"/>
          <w:sz w:val="22"/>
          <w:szCs w:val="22"/>
          <w:lang w:val="fr-BE"/>
        </w:rPr>
        <w:t>d</w:t>
      </w:r>
      <w:r w:rsidRPr="00344779">
        <w:rPr>
          <w:rFonts w:ascii="Palatino Linotype" w:hAnsi="Palatino Linotype" w:cstheme="minorHAnsi"/>
          <w:sz w:val="22"/>
          <w:szCs w:val="22"/>
          <w:lang w:val="fr-BE"/>
        </w:rPr>
        <w:t>ubliné</w:t>
      </w:r>
      <w:proofErr w:type="spellEnd"/>
      <w:r w:rsidRPr="00344779">
        <w:rPr>
          <w:rFonts w:ascii="Palatino Linotype" w:hAnsi="Palatino Linotype" w:cstheme="minorHAnsi"/>
          <w:sz w:val="22"/>
          <w:szCs w:val="22"/>
          <w:lang w:val="fr-BE"/>
        </w:rPr>
        <w:t xml:space="preserve"> risque clairement l’exécution de l’ordre quitter le territoire, sans que le recours introduit contre cet ordre de quitter le territoire ne soit tranché dans le délai utile de six mois pour être efficace (par référence à la procédure du règlement 604/2013).</w:t>
      </w:r>
    </w:p>
    <w:p w:rsidR="00344779" w:rsidRDefault="00344779" w:rsidP="00344779">
      <w:pPr>
        <w:jc w:val="both"/>
        <w:rPr>
          <w:rFonts w:ascii="Palatino Linotype" w:hAnsi="Palatino Linotype" w:cstheme="minorHAnsi"/>
          <w:sz w:val="22"/>
          <w:szCs w:val="22"/>
          <w:lang w:val="fr-BE"/>
        </w:rPr>
      </w:pPr>
    </w:p>
    <w:p w:rsidR="00E45C22" w:rsidRDefault="00E45C22" w:rsidP="00344779">
      <w:pPr>
        <w:jc w:val="both"/>
        <w:rPr>
          <w:rFonts w:ascii="Palatino Linotype" w:hAnsi="Palatino Linotype" w:cstheme="minorHAnsi"/>
          <w:sz w:val="22"/>
          <w:szCs w:val="22"/>
          <w:lang w:val="fr-BE"/>
        </w:rPr>
      </w:pPr>
    </w:p>
    <w:p w:rsidR="00E45C22" w:rsidRPr="00344779" w:rsidRDefault="00E45C22" w:rsidP="00344779">
      <w:pPr>
        <w:jc w:val="both"/>
        <w:rPr>
          <w:rFonts w:ascii="Palatino Linotype" w:hAnsi="Palatino Linotype" w:cstheme="minorHAnsi"/>
          <w:sz w:val="22"/>
          <w:szCs w:val="22"/>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La conséquence concrète est que la « place retour » en centre d’accueil n’est pas un simple changement de résidence, coïncidant avec des mesures préparatoires à une décision du C.C.E. (thèse développée dans l’</w:t>
      </w:r>
      <w:r w:rsidR="006E5970">
        <w:rPr>
          <w:rFonts w:ascii="Palatino Linotype" w:hAnsi="Palatino Linotype" w:cstheme="minorHAnsi"/>
          <w:sz w:val="22"/>
          <w:szCs w:val="22"/>
          <w:lang w:val="fr-BE"/>
        </w:rPr>
        <w:t>o</w:t>
      </w:r>
      <w:r w:rsidRPr="00344779">
        <w:rPr>
          <w:rFonts w:ascii="Palatino Linotype" w:hAnsi="Palatino Linotype" w:cstheme="minorHAnsi"/>
          <w:sz w:val="22"/>
          <w:szCs w:val="22"/>
          <w:lang w:val="fr-BE"/>
        </w:rPr>
        <w:t>rdonnance UE du 26</w:t>
      </w:r>
      <w:r w:rsidR="006E5970">
        <w:rPr>
          <w:rFonts w:ascii="Palatino Linotype" w:hAnsi="Palatino Linotype" w:cstheme="minorHAnsi"/>
          <w:sz w:val="22"/>
          <w:szCs w:val="22"/>
          <w:lang w:val="fr-BE"/>
        </w:rPr>
        <w:t>/03/</w:t>
      </w:r>
      <w:r w:rsidRPr="00344779">
        <w:rPr>
          <w:rFonts w:ascii="Palatino Linotype" w:hAnsi="Palatino Linotype" w:cstheme="minorHAnsi"/>
          <w:sz w:val="22"/>
          <w:szCs w:val="22"/>
          <w:lang w:val="fr-BE"/>
        </w:rPr>
        <w:t>2021),  mais bien un endroit, où à défaut d’efficacité du rec</w:t>
      </w:r>
      <w:r w:rsidR="006E5970">
        <w:rPr>
          <w:rFonts w:ascii="Palatino Linotype" w:hAnsi="Palatino Linotype" w:cstheme="minorHAnsi"/>
          <w:sz w:val="22"/>
          <w:szCs w:val="22"/>
          <w:lang w:val="fr-BE"/>
        </w:rPr>
        <w:t>ours pendant contre l’annexe 26quater, il convient d’inviter (avec une certaine insistance</w:t>
      </w:r>
      <w:r w:rsidRPr="00344779">
        <w:rPr>
          <w:rFonts w:ascii="Palatino Linotype" w:hAnsi="Palatino Linotype" w:cstheme="minorHAnsi"/>
          <w:sz w:val="22"/>
          <w:szCs w:val="22"/>
          <w:lang w:val="fr-BE"/>
        </w:rPr>
        <w:t>?</w:t>
      </w:r>
      <w:r w:rsidRPr="006E5970">
        <w:rPr>
          <w:rFonts w:ascii="Palatino Linotype" w:hAnsi="Palatino Linotype" w:cstheme="minorHAnsi"/>
          <w:sz w:val="14"/>
          <w:szCs w:val="22"/>
          <w:lang w:val="fr-BE"/>
        </w:rPr>
        <w:footnoteReference w:id="8"/>
      </w:r>
      <w:r w:rsidR="006E5970">
        <w:rPr>
          <w:rFonts w:ascii="Palatino Linotype" w:hAnsi="Palatino Linotype" w:cstheme="minorHAnsi"/>
          <w:sz w:val="22"/>
          <w:szCs w:val="22"/>
          <w:lang w:val="fr-BE"/>
        </w:rPr>
        <w:t>)</w:t>
      </w:r>
      <w:r w:rsidRPr="00344779">
        <w:rPr>
          <w:rFonts w:ascii="Palatino Linotype" w:hAnsi="Palatino Linotype" w:cstheme="minorHAnsi"/>
          <w:sz w:val="22"/>
          <w:szCs w:val="22"/>
          <w:lang w:val="fr-BE"/>
        </w:rPr>
        <w:t xml:space="preserve"> le demandeur d’asile </w:t>
      </w:r>
      <w:proofErr w:type="spellStart"/>
      <w:r w:rsidRPr="00344779">
        <w:rPr>
          <w:rFonts w:ascii="Palatino Linotype" w:hAnsi="Palatino Linotype" w:cstheme="minorHAnsi"/>
          <w:sz w:val="22"/>
          <w:szCs w:val="22"/>
          <w:lang w:val="fr-BE"/>
        </w:rPr>
        <w:t>dubliné</w:t>
      </w:r>
      <w:proofErr w:type="spellEnd"/>
      <w:r w:rsidRPr="00344779">
        <w:rPr>
          <w:rFonts w:ascii="Palatino Linotype" w:hAnsi="Palatino Linotype" w:cstheme="minorHAnsi"/>
          <w:sz w:val="22"/>
          <w:szCs w:val="22"/>
          <w:lang w:val="fr-BE"/>
        </w:rPr>
        <w:t xml:space="preserve"> à marquer son accord sur un dépar</w:t>
      </w:r>
      <w:r w:rsidR="006E5970">
        <w:rPr>
          <w:rFonts w:ascii="Palatino Linotype" w:hAnsi="Palatino Linotype" w:cstheme="minorHAnsi"/>
          <w:sz w:val="22"/>
          <w:szCs w:val="22"/>
          <w:lang w:val="fr-BE"/>
        </w:rPr>
        <w:t>t volontaire, très rapidement (</w:t>
      </w:r>
      <w:r w:rsidRPr="00344779">
        <w:rPr>
          <w:rFonts w:ascii="Palatino Linotype" w:hAnsi="Palatino Linotype" w:cstheme="minorHAnsi"/>
          <w:sz w:val="22"/>
          <w:szCs w:val="22"/>
          <w:lang w:val="fr-BE"/>
        </w:rPr>
        <w:t>alors que le recours introduit devant le CCE est peut-être fondé du point de vue de la violation de l’article 3 de la CEDH).</w:t>
      </w:r>
    </w:p>
    <w:p w:rsidR="00344779" w:rsidRPr="00344779" w:rsidRDefault="00344779" w:rsidP="00344779">
      <w:pPr>
        <w:jc w:val="both"/>
        <w:rPr>
          <w:rFonts w:ascii="Palatino Linotype" w:hAnsi="Palatino Linotype" w:cstheme="minorHAnsi"/>
          <w:sz w:val="22"/>
          <w:szCs w:val="22"/>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 xml:space="preserve">Un constat s’impose en tout cas : la réalité à la base du raisonnement de la Cour de </w:t>
      </w:r>
      <w:r w:rsidR="00350C7A">
        <w:rPr>
          <w:rFonts w:ascii="Palatino Linotype" w:hAnsi="Palatino Linotype" w:cstheme="minorHAnsi"/>
          <w:sz w:val="22"/>
          <w:szCs w:val="22"/>
          <w:lang w:val="fr-BE"/>
        </w:rPr>
        <w:t>Justice de Luxembourg dans son ordonnance du 26/</w:t>
      </w:r>
      <w:r w:rsidRPr="00344779">
        <w:rPr>
          <w:rFonts w:ascii="Palatino Linotype" w:hAnsi="Palatino Linotype" w:cstheme="minorHAnsi"/>
          <w:sz w:val="22"/>
          <w:szCs w:val="22"/>
          <w:lang w:val="fr-BE"/>
        </w:rPr>
        <w:t>03</w:t>
      </w:r>
      <w:r w:rsidR="00350C7A">
        <w:rPr>
          <w:rFonts w:ascii="Palatino Linotype" w:hAnsi="Palatino Linotype" w:cstheme="minorHAnsi"/>
          <w:sz w:val="22"/>
          <w:szCs w:val="22"/>
          <w:lang w:val="fr-BE"/>
        </w:rPr>
        <w:t>/</w:t>
      </w:r>
      <w:r w:rsidRPr="00344779">
        <w:rPr>
          <w:rFonts w:ascii="Palatino Linotype" w:hAnsi="Palatino Linotype" w:cstheme="minorHAnsi"/>
          <w:sz w:val="22"/>
          <w:szCs w:val="22"/>
          <w:lang w:val="fr-BE"/>
        </w:rPr>
        <w:t>2021 repose su</w:t>
      </w:r>
      <w:r>
        <w:rPr>
          <w:rFonts w:ascii="Palatino Linotype" w:hAnsi="Palatino Linotype" w:cstheme="minorHAnsi"/>
          <w:sz w:val="22"/>
          <w:szCs w:val="22"/>
          <w:lang w:val="fr-BE"/>
        </w:rPr>
        <w:t xml:space="preserve">r l’efficacité d’un recours en </w:t>
      </w:r>
      <w:r w:rsidR="00350C7A">
        <w:rPr>
          <w:rFonts w:ascii="Palatino Linotype" w:hAnsi="Palatino Linotype" w:cstheme="minorHAnsi"/>
          <w:sz w:val="22"/>
          <w:szCs w:val="22"/>
          <w:lang w:val="fr-BE"/>
        </w:rPr>
        <w:t>droit belge (</w:t>
      </w:r>
      <w:r w:rsidRPr="00344779">
        <w:rPr>
          <w:rFonts w:ascii="Palatino Linotype" w:hAnsi="Palatino Linotype" w:cstheme="minorHAnsi"/>
          <w:sz w:val="22"/>
          <w:szCs w:val="22"/>
          <w:lang w:val="fr-BE"/>
        </w:rPr>
        <w:t>suspension/annulation de l’annexe 26 quater), qui, de fait, n’existe pas.</w:t>
      </w:r>
    </w:p>
    <w:p w:rsidR="00344779" w:rsidRPr="00344779" w:rsidRDefault="00344779" w:rsidP="00344779">
      <w:pPr>
        <w:jc w:val="both"/>
        <w:rPr>
          <w:rFonts w:ascii="Palatino Linotype" w:hAnsi="Palatino Linotype" w:cstheme="minorHAnsi"/>
          <w:sz w:val="22"/>
          <w:szCs w:val="22"/>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 xml:space="preserve">Cette donnée met à mal le sens de l’accueil proposé par </w:t>
      </w:r>
      <w:r w:rsidR="00350C7A" w:rsidRPr="00350C7A">
        <w:rPr>
          <w:rFonts w:ascii="Palatino Linotype" w:hAnsi="Palatino Linotype" w:cstheme="minorHAnsi"/>
          <w:sz w:val="22"/>
          <w:szCs w:val="22"/>
          <w:lang w:val="fr-BE"/>
        </w:rPr>
        <w:t xml:space="preserve">FEDASIL </w:t>
      </w:r>
      <w:r w:rsidRPr="00344779">
        <w:rPr>
          <w:rFonts w:ascii="Palatino Linotype" w:hAnsi="Palatino Linotype" w:cstheme="minorHAnsi"/>
          <w:sz w:val="22"/>
          <w:szCs w:val="22"/>
          <w:lang w:val="fr-BE"/>
        </w:rPr>
        <w:t xml:space="preserve">en centre d’accueil « places Dublin ». </w:t>
      </w:r>
    </w:p>
    <w:p w:rsidR="00344779" w:rsidRPr="00344779" w:rsidRDefault="00344779" w:rsidP="00344779">
      <w:pPr>
        <w:jc w:val="both"/>
        <w:rPr>
          <w:rFonts w:ascii="Palatino Linotype" w:hAnsi="Palatino Linotype" w:cstheme="minorHAnsi"/>
          <w:sz w:val="22"/>
          <w:szCs w:val="22"/>
          <w:lang w:val="fr-BE"/>
        </w:rPr>
      </w:pPr>
    </w:p>
    <w:p w:rsidR="00344779" w:rsidRDefault="00344779" w:rsidP="00344779">
      <w:pPr>
        <w:jc w:val="both"/>
        <w:rPr>
          <w:rFonts w:ascii="Palatino Linotype" w:hAnsi="Palatino Linotype" w:cstheme="minorHAnsi"/>
          <w:sz w:val="22"/>
          <w:szCs w:val="22"/>
          <w:lang w:val="fr-BE"/>
        </w:rPr>
      </w:pPr>
      <w:r w:rsidRPr="00344779">
        <w:rPr>
          <w:rFonts w:ascii="Palatino Linotype" w:hAnsi="Palatino Linotype" w:cstheme="minorHAnsi"/>
          <w:sz w:val="22"/>
          <w:szCs w:val="22"/>
          <w:lang w:val="fr-BE"/>
        </w:rPr>
        <w:t>Si FEDASIL n’est naturellement pas responsable de cette situation, les victimes principales sont surtout des personnes fragilisées à la base, qui – adéquatement ou pas</w:t>
      </w:r>
      <w:r w:rsidR="00350C7A">
        <w:rPr>
          <w:rFonts w:ascii="Palatino Linotype" w:hAnsi="Palatino Linotype" w:cstheme="minorHAnsi"/>
          <w:sz w:val="22"/>
          <w:szCs w:val="22"/>
          <w:lang w:val="fr-BE"/>
        </w:rPr>
        <w:t xml:space="preserve"> -</w:t>
      </w:r>
      <w:r w:rsidRPr="00344779">
        <w:rPr>
          <w:rFonts w:ascii="Palatino Linotype" w:hAnsi="Palatino Linotype" w:cstheme="minorHAnsi"/>
          <w:sz w:val="22"/>
          <w:szCs w:val="22"/>
          <w:lang w:val="fr-BE"/>
        </w:rPr>
        <w:t xml:space="preserve"> </w:t>
      </w:r>
      <w:r w:rsidR="00350C7A">
        <w:rPr>
          <w:rFonts w:ascii="Palatino Linotype" w:hAnsi="Palatino Linotype" w:cstheme="minorHAnsi"/>
          <w:sz w:val="22"/>
          <w:szCs w:val="22"/>
          <w:lang w:val="fr-BE"/>
        </w:rPr>
        <w:t>craignent pour leur liberté et/</w:t>
      </w:r>
      <w:r w:rsidRPr="00344779">
        <w:rPr>
          <w:rFonts w:ascii="Palatino Linotype" w:hAnsi="Palatino Linotype" w:cstheme="minorHAnsi"/>
          <w:sz w:val="22"/>
          <w:szCs w:val="22"/>
          <w:lang w:val="fr-BE"/>
        </w:rPr>
        <w:t xml:space="preserve">ou pour la préservation de leurs besoins élémentaires. </w:t>
      </w:r>
    </w:p>
    <w:p w:rsidR="00344779" w:rsidRPr="00344779" w:rsidRDefault="00344779" w:rsidP="00344779">
      <w:pPr>
        <w:jc w:val="both"/>
        <w:rPr>
          <w:rFonts w:ascii="Palatino Linotype" w:hAnsi="Palatino Linotype" w:cstheme="minorHAnsi"/>
          <w:sz w:val="22"/>
          <w:szCs w:val="22"/>
          <w:lang w:val="fr-BE"/>
        </w:rPr>
      </w:pPr>
    </w:p>
    <w:p w:rsidR="00344779" w:rsidRDefault="00350C7A" w:rsidP="00344779">
      <w:pPr>
        <w:jc w:val="both"/>
        <w:rPr>
          <w:rFonts w:ascii="Palatino Linotype" w:hAnsi="Palatino Linotype" w:cstheme="minorHAnsi"/>
          <w:sz w:val="22"/>
          <w:szCs w:val="22"/>
          <w:lang w:val="fr-BE"/>
        </w:rPr>
      </w:pPr>
      <w:r>
        <w:rPr>
          <w:rFonts w:ascii="Palatino Linotype" w:hAnsi="Palatino Linotype" w:cstheme="minorHAnsi"/>
          <w:sz w:val="22"/>
          <w:szCs w:val="22"/>
          <w:lang w:val="fr-BE"/>
        </w:rPr>
        <w:t>En conclusion, l’ordonnance du 26/03/</w:t>
      </w:r>
      <w:r w:rsidR="00344779" w:rsidRPr="00344779">
        <w:rPr>
          <w:rFonts w:ascii="Palatino Linotype" w:hAnsi="Palatino Linotype" w:cstheme="minorHAnsi"/>
          <w:sz w:val="22"/>
          <w:szCs w:val="22"/>
          <w:lang w:val="fr-BE"/>
        </w:rPr>
        <w:t>2021 n’av</w:t>
      </w:r>
      <w:r w:rsidR="00B94AE0">
        <w:rPr>
          <w:rFonts w:ascii="Palatino Linotype" w:hAnsi="Palatino Linotype" w:cstheme="minorHAnsi"/>
          <w:sz w:val="22"/>
          <w:szCs w:val="22"/>
          <w:lang w:val="fr-BE"/>
        </w:rPr>
        <w:t xml:space="preserve">alise pas la réalité constatée </w:t>
      </w:r>
      <w:r>
        <w:rPr>
          <w:rFonts w:ascii="Palatino Linotype" w:hAnsi="Palatino Linotype" w:cstheme="minorHAnsi"/>
          <w:sz w:val="22"/>
          <w:szCs w:val="22"/>
          <w:lang w:val="fr-BE"/>
        </w:rPr>
        <w:t>dans l’ordre juridique b</w:t>
      </w:r>
      <w:r w:rsidR="00344779" w:rsidRPr="00344779">
        <w:rPr>
          <w:rFonts w:ascii="Palatino Linotype" w:hAnsi="Palatino Linotype" w:cstheme="minorHAnsi"/>
          <w:sz w:val="22"/>
          <w:szCs w:val="22"/>
          <w:lang w:val="fr-BE"/>
        </w:rPr>
        <w:t xml:space="preserve">elge, bien différente de celle-prise en compte par la Cour de Luxembourg. </w:t>
      </w:r>
    </w:p>
    <w:p w:rsidR="00344779" w:rsidRDefault="00344779">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pStyle w:val="Paragraphedeliste"/>
        <w:numPr>
          <w:ilvl w:val="0"/>
          <w:numId w:val="28"/>
        </w:numPr>
        <w:spacing w:after="160" w:line="256" w:lineRule="auto"/>
        <w:jc w:val="both"/>
        <w:rPr>
          <w:rFonts w:ascii="Palatino Linotype" w:hAnsi="Palatino Linotype" w:cstheme="minorHAnsi"/>
          <w:b/>
          <w:sz w:val="22"/>
          <w:szCs w:val="22"/>
          <w:lang w:val="fr-BE"/>
        </w:rPr>
      </w:pPr>
      <w:r w:rsidRPr="00B94AE0">
        <w:rPr>
          <w:rFonts w:ascii="Palatino Linotype" w:hAnsi="Palatino Linotype" w:cstheme="minorHAnsi"/>
          <w:b/>
          <w:sz w:val="22"/>
          <w:szCs w:val="22"/>
          <w:lang w:val="fr-BE"/>
        </w:rPr>
        <w:t xml:space="preserve">L’accueil en place Dublin : </w:t>
      </w: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Une question essentielle au stade actuel de la procédure est la nature de l’accueil réservé</w:t>
      </w:r>
      <w:r w:rsidR="00350C7A">
        <w:rPr>
          <w:rFonts w:ascii="Palatino Linotype" w:hAnsi="Palatino Linotype" w:cstheme="minorHAnsi"/>
          <w:sz w:val="22"/>
          <w:szCs w:val="22"/>
          <w:lang w:val="fr-BE"/>
        </w:rPr>
        <w:t>e</w:t>
      </w:r>
      <w:r w:rsidRPr="00B94AE0">
        <w:rPr>
          <w:rFonts w:ascii="Palatino Linotype" w:hAnsi="Palatino Linotype" w:cstheme="minorHAnsi"/>
          <w:sz w:val="22"/>
          <w:szCs w:val="22"/>
          <w:lang w:val="fr-BE"/>
        </w:rPr>
        <w:t xml:space="preserve"> au défendeur en place « Dublin » au centre de </w:t>
      </w:r>
      <w:proofErr w:type="spellStart"/>
      <w:r w:rsidRPr="00B94AE0">
        <w:rPr>
          <w:rFonts w:ascii="Palatino Linotype" w:hAnsi="Palatino Linotype" w:cstheme="minorHAnsi"/>
          <w:sz w:val="22"/>
          <w:szCs w:val="22"/>
          <w:lang w:val="fr-BE"/>
        </w:rPr>
        <w:t>Poelkapelle</w:t>
      </w:r>
      <w:proofErr w:type="spellEnd"/>
      <w:r w:rsidRPr="00B94AE0">
        <w:rPr>
          <w:rFonts w:ascii="Palatino Linotype" w:hAnsi="Palatino Linotype" w:cstheme="minorHAnsi"/>
          <w:sz w:val="22"/>
          <w:szCs w:val="22"/>
          <w:lang w:val="fr-BE"/>
        </w:rPr>
        <w:t>.</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Comme repris dans la précédente ordonnance, </w:t>
      </w:r>
      <w:r w:rsidR="00E45C22" w:rsidRPr="00B94AE0">
        <w:rPr>
          <w:rFonts w:ascii="Palatino Linotype" w:hAnsi="Palatino Linotype" w:cstheme="minorHAnsi"/>
          <w:sz w:val="22"/>
          <w:szCs w:val="22"/>
          <w:lang w:val="fr-BE"/>
        </w:rPr>
        <w:t>F</w:t>
      </w:r>
      <w:r w:rsidR="00E45C22">
        <w:rPr>
          <w:rFonts w:ascii="Palatino Linotype" w:hAnsi="Palatino Linotype" w:cstheme="minorHAnsi"/>
          <w:sz w:val="22"/>
          <w:szCs w:val="22"/>
          <w:lang w:val="fr-BE"/>
        </w:rPr>
        <w:t>E</w:t>
      </w:r>
      <w:r w:rsidR="00E45C22" w:rsidRPr="00B94AE0">
        <w:rPr>
          <w:rFonts w:ascii="Palatino Linotype" w:hAnsi="Palatino Linotype" w:cstheme="minorHAnsi"/>
          <w:sz w:val="22"/>
          <w:szCs w:val="22"/>
          <w:lang w:val="fr-BE"/>
        </w:rPr>
        <w:t>DASIL</w:t>
      </w:r>
      <w:r w:rsidRPr="00B94AE0">
        <w:rPr>
          <w:rFonts w:ascii="Palatino Linotype" w:hAnsi="Palatino Linotype" w:cstheme="minorHAnsi"/>
          <w:sz w:val="22"/>
          <w:szCs w:val="22"/>
          <w:lang w:val="fr-BE"/>
        </w:rPr>
        <w:t>, en application de l’article 8.4 du nouveau code civil</w:t>
      </w:r>
      <w:r w:rsidRPr="00B94AE0">
        <w:rPr>
          <w:rFonts w:ascii="Palatino Linotype" w:hAnsi="Palatino Linotype" w:cstheme="minorHAnsi"/>
          <w:sz w:val="22"/>
          <w:szCs w:val="22"/>
          <w:vertAlign w:val="superscript"/>
          <w:lang w:val="fr-BE"/>
        </w:rPr>
        <w:footnoteReference w:id="9"/>
      </w:r>
      <w:r w:rsidRPr="00B94AE0">
        <w:rPr>
          <w:rFonts w:ascii="Palatino Linotype" w:hAnsi="Palatino Linotype" w:cstheme="minorHAnsi"/>
          <w:sz w:val="22"/>
          <w:szCs w:val="22"/>
          <w:lang w:val="fr-BE"/>
        </w:rPr>
        <w:t xml:space="preserve"> ne peut faire l’économie de participer à la charge de la preuve de la manière dont le défendeur risque d’être accueilli dans le centre qui lui est désigné par la décision litigieuse.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Le Tribunal distinguera deux points d’analyse à cet égard : d’une part, la tenue des trois entretien Dublin, et d’autre part, l’accueil général en place retour.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E45C22" w:rsidRDefault="00E45C22" w:rsidP="00B94AE0">
      <w:pPr>
        <w:tabs>
          <w:tab w:val="center" w:pos="6372"/>
        </w:tabs>
        <w:suppressAutoHyphens/>
        <w:spacing w:line="240" w:lineRule="atLeast"/>
        <w:jc w:val="both"/>
        <w:rPr>
          <w:rFonts w:ascii="Palatino Linotype" w:hAnsi="Palatino Linotype" w:cstheme="minorHAnsi"/>
          <w:sz w:val="22"/>
          <w:szCs w:val="22"/>
          <w:lang w:val="fr-BE"/>
        </w:rPr>
      </w:pPr>
    </w:p>
    <w:p w:rsidR="00E45C22" w:rsidRDefault="00E45C22" w:rsidP="00B94AE0">
      <w:pPr>
        <w:tabs>
          <w:tab w:val="center" w:pos="6372"/>
        </w:tabs>
        <w:suppressAutoHyphens/>
        <w:spacing w:line="240" w:lineRule="atLeast"/>
        <w:jc w:val="both"/>
        <w:rPr>
          <w:rFonts w:ascii="Palatino Linotype" w:hAnsi="Palatino Linotype" w:cstheme="minorHAnsi"/>
          <w:sz w:val="22"/>
          <w:szCs w:val="22"/>
          <w:lang w:val="fr-BE"/>
        </w:rPr>
      </w:pPr>
    </w:p>
    <w:p w:rsidR="00E45C22" w:rsidRDefault="00E45C22" w:rsidP="00B94AE0">
      <w:pPr>
        <w:tabs>
          <w:tab w:val="center" w:pos="6372"/>
        </w:tabs>
        <w:suppressAutoHyphens/>
        <w:spacing w:line="240" w:lineRule="atLeast"/>
        <w:jc w:val="both"/>
        <w:rPr>
          <w:rFonts w:ascii="Palatino Linotype" w:hAnsi="Palatino Linotype" w:cstheme="minorHAnsi"/>
          <w:sz w:val="22"/>
          <w:szCs w:val="22"/>
          <w:lang w:val="fr-BE"/>
        </w:rPr>
      </w:pPr>
    </w:p>
    <w:p w:rsidR="00E45C22" w:rsidRDefault="00E45C22"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B.1. La tenue de la procédure des trois entretiens :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De manière « traditionnelle », la procédure des trois entretiens (qui justifie, selon </w:t>
      </w:r>
      <w:r w:rsidR="00350C7A" w:rsidRPr="00B94AE0">
        <w:rPr>
          <w:rFonts w:ascii="Palatino Linotype" w:hAnsi="Palatino Linotype" w:cstheme="minorHAnsi"/>
          <w:sz w:val="22"/>
          <w:szCs w:val="22"/>
          <w:lang w:val="fr-BE"/>
        </w:rPr>
        <w:t>F</w:t>
      </w:r>
      <w:r w:rsidR="00350C7A">
        <w:rPr>
          <w:rFonts w:ascii="Palatino Linotype" w:hAnsi="Palatino Linotype" w:cstheme="minorHAnsi"/>
          <w:sz w:val="22"/>
          <w:szCs w:val="22"/>
          <w:lang w:val="fr-BE"/>
        </w:rPr>
        <w:t>E</w:t>
      </w:r>
      <w:r w:rsidR="00350C7A" w:rsidRPr="00B94AE0">
        <w:rPr>
          <w:rFonts w:ascii="Palatino Linotype" w:hAnsi="Palatino Linotype" w:cstheme="minorHAnsi"/>
          <w:sz w:val="22"/>
          <w:szCs w:val="22"/>
          <w:lang w:val="fr-BE"/>
        </w:rPr>
        <w:t>DASIL</w:t>
      </w:r>
      <w:r w:rsidRPr="00B94AE0">
        <w:rPr>
          <w:rFonts w:ascii="Palatino Linotype" w:hAnsi="Palatino Linotype" w:cstheme="minorHAnsi"/>
          <w:sz w:val="22"/>
          <w:szCs w:val="22"/>
          <w:lang w:val="fr-BE"/>
        </w:rPr>
        <w:t xml:space="preserve">, le transfert en « place Dublin ») est décrite comme suit :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b/>
          <w:sz w:val="22"/>
          <w:szCs w:val="22"/>
          <w:lang w:val="fr-BE"/>
        </w:rPr>
        <w:t>Le premier rendez-vous</w:t>
      </w:r>
      <w:r w:rsidRPr="00B94AE0">
        <w:rPr>
          <w:rFonts w:ascii="Palatino Linotype" w:hAnsi="Palatino Linotype" w:cstheme="minorHAnsi"/>
          <w:sz w:val="22"/>
          <w:szCs w:val="22"/>
          <w:lang w:val="fr-BE"/>
        </w:rPr>
        <w:t xml:space="preserve"> se tient avec un travailleur social de FEDASIL. Ce dernie</w:t>
      </w:r>
      <w:r w:rsidR="00A2597E">
        <w:rPr>
          <w:rFonts w:ascii="Palatino Linotype" w:hAnsi="Palatino Linotype" w:cstheme="minorHAnsi"/>
          <w:sz w:val="22"/>
          <w:szCs w:val="22"/>
          <w:lang w:val="fr-BE"/>
        </w:rPr>
        <w:t>r explique la procédure retour/</w:t>
      </w:r>
      <w:r w:rsidRPr="00B94AE0">
        <w:rPr>
          <w:rFonts w:ascii="Palatino Linotype" w:hAnsi="Palatino Linotype" w:cstheme="minorHAnsi"/>
          <w:sz w:val="22"/>
          <w:szCs w:val="22"/>
          <w:lang w:val="fr-BE"/>
        </w:rPr>
        <w:t xml:space="preserve">transfert au demandeur de protection internationale, dans un contexte de simple information. Il répond aux questions posées, également en ce qui concerne la procédure d’asile.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b/>
          <w:sz w:val="22"/>
          <w:szCs w:val="22"/>
          <w:lang w:val="fr-BE"/>
        </w:rPr>
        <w:t>Le deuxième rendez-vous</w:t>
      </w:r>
      <w:r w:rsidRPr="00B94AE0">
        <w:rPr>
          <w:rFonts w:ascii="Palatino Linotype" w:hAnsi="Palatino Linotype" w:cstheme="minorHAnsi"/>
          <w:sz w:val="22"/>
          <w:szCs w:val="22"/>
          <w:lang w:val="fr-BE"/>
        </w:rPr>
        <w:t xml:space="preserve"> a lieu avec un agent de liaison de l’Office des Etrangers, en présence d’un travailleur social FEDASIL. Pour la fin du rendez-vous, le demandeur de protection internationale doit prendre attitude par la signature d’un document, visant l’adhési</w:t>
      </w:r>
      <w:r w:rsidR="00A2597E">
        <w:rPr>
          <w:rFonts w:ascii="Palatino Linotype" w:hAnsi="Palatino Linotype" w:cstheme="minorHAnsi"/>
          <w:sz w:val="22"/>
          <w:szCs w:val="22"/>
          <w:lang w:val="fr-BE"/>
        </w:rPr>
        <w:t>on à la procédure de transfert/</w:t>
      </w:r>
      <w:r w:rsidRPr="00B94AE0">
        <w:rPr>
          <w:rFonts w:ascii="Palatino Linotype" w:hAnsi="Palatino Linotype" w:cstheme="minorHAnsi"/>
          <w:sz w:val="22"/>
          <w:szCs w:val="22"/>
          <w:lang w:val="fr-BE"/>
        </w:rPr>
        <w:t>retour volontaire, ou le refus de collaboration. En ce dernier cas, le demandeur de protection internationale est informé qu’une fois le délai de 10 jours écoulé depuis l’arrivé dans le centre, l’Office des Etrangers est susceptible de prendre toute initiative qu’il jugera utile, jusqu’au transfert dans un centre fermé, suite à une décision de non collaboration</w:t>
      </w:r>
      <w:r w:rsidRPr="00B94AE0">
        <w:rPr>
          <w:rFonts w:ascii="Palatino Linotype" w:hAnsi="Palatino Linotype" w:cstheme="minorHAnsi"/>
          <w:sz w:val="22"/>
          <w:szCs w:val="22"/>
          <w:vertAlign w:val="superscript"/>
        </w:rPr>
        <w:footnoteReference w:id="10"/>
      </w:r>
      <w:r w:rsidRPr="00B94AE0">
        <w:rPr>
          <w:rFonts w:ascii="Palatino Linotype" w:hAnsi="Palatino Linotype" w:cstheme="minorHAnsi"/>
          <w:sz w:val="22"/>
          <w:szCs w:val="22"/>
          <w:lang w:val="fr-BE"/>
        </w:rPr>
        <w:t xml:space="preserve">.     </w:t>
      </w:r>
    </w:p>
    <w:p w:rsidR="00344779" w:rsidRDefault="00344779">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b/>
          <w:sz w:val="22"/>
          <w:szCs w:val="22"/>
          <w:lang w:val="fr-BE"/>
        </w:rPr>
        <w:t>Le troisième rendez-vous</w:t>
      </w:r>
      <w:r w:rsidRPr="00B94AE0">
        <w:rPr>
          <w:rFonts w:ascii="Palatino Linotype" w:hAnsi="Palatino Linotype" w:cstheme="minorHAnsi"/>
          <w:sz w:val="22"/>
          <w:szCs w:val="22"/>
          <w:lang w:val="fr-BE"/>
        </w:rPr>
        <w:t xml:space="preserve"> a lieu avec le travailleur social de FEDASIL. Soit il a pour objet la concrétisation du projet de départ, soit il a pour objet un complément d’informations éventuel.</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La question du déroulement concret et effectif de ces entretiens est toutefois l’objet de bien des incertitudes.</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Comme dit dans la précédente</w:t>
      </w:r>
      <w:r w:rsidR="00A2597E">
        <w:rPr>
          <w:rFonts w:ascii="Palatino Linotype" w:hAnsi="Palatino Linotype" w:cstheme="minorHAnsi"/>
          <w:sz w:val="22"/>
          <w:szCs w:val="22"/>
          <w:lang w:val="fr-BE"/>
        </w:rPr>
        <w:t xml:space="preserve"> ordonnance, par jugement du 28/01/</w:t>
      </w:r>
      <w:r w:rsidRPr="00B94AE0">
        <w:rPr>
          <w:rFonts w:ascii="Palatino Linotype" w:hAnsi="Palatino Linotype" w:cstheme="minorHAnsi"/>
          <w:sz w:val="22"/>
          <w:szCs w:val="22"/>
          <w:lang w:val="fr-BE"/>
        </w:rPr>
        <w:t>2022 du Tribunal du Travail de Liège</w:t>
      </w:r>
      <w:r w:rsidR="00A2597E">
        <w:rPr>
          <w:rFonts w:ascii="Palatino Linotype" w:hAnsi="Palatino Linotype" w:cstheme="minorHAnsi"/>
          <w:sz w:val="22"/>
          <w:szCs w:val="22"/>
          <w:lang w:val="fr-BE"/>
        </w:rPr>
        <w:t>,</w:t>
      </w:r>
      <w:r w:rsidRPr="00B94AE0">
        <w:rPr>
          <w:rFonts w:ascii="Palatino Linotype" w:hAnsi="Palatino Linotype" w:cstheme="minorHAnsi"/>
          <w:sz w:val="22"/>
          <w:szCs w:val="22"/>
          <w:lang w:val="fr-BE"/>
        </w:rPr>
        <w:t xml:space="preserve"> Division Namur</w:t>
      </w:r>
      <w:r w:rsidRPr="00B94AE0">
        <w:rPr>
          <w:rFonts w:ascii="Palatino Linotype" w:hAnsi="Palatino Linotype" w:cstheme="minorHAnsi"/>
          <w:sz w:val="22"/>
          <w:szCs w:val="22"/>
          <w:vertAlign w:val="superscript"/>
          <w:lang w:val="fr-BE"/>
        </w:rPr>
        <w:footnoteReference w:id="11"/>
      </w:r>
      <w:r w:rsidRPr="00B94AE0">
        <w:rPr>
          <w:rFonts w:ascii="Palatino Linotype" w:hAnsi="Palatino Linotype" w:cstheme="minorHAnsi"/>
          <w:sz w:val="22"/>
          <w:szCs w:val="22"/>
          <w:lang w:val="fr-BE"/>
        </w:rPr>
        <w:t>, de réelles difficultés sont toutefois observées dans les faits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b/>
          <w:i/>
          <w:sz w:val="22"/>
          <w:szCs w:val="22"/>
          <w:lang w:val="fr-BE"/>
        </w:rPr>
      </w:pPr>
      <w:r w:rsidRPr="00B94AE0">
        <w:rPr>
          <w:rFonts w:ascii="Palatino Linotype" w:hAnsi="Palatino Linotype" w:cstheme="minorHAnsi"/>
          <w:i/>
          <w:sz w:val="22"/>
          <w:szCs w:val="22"/>
          <w:lang w:val="fr-BE"/>
        </w:rPr>
        <w:t>« 6.</w:t>
      </w:r>
      <w:r w:rsidRPr="00B94AE0">
        <w:rPr>
          <w:rFonts w:ascii="Palatino Linotype" w:hAnsi="Palatino Linotype" w:cstheme="minorHAnsi"/>
          <w:i/>
          <w:sz w:val="22"/>
          <w:szCs w:val="22"/>
          <w:lang w:val="fr-BE"/>
        </w:rPr>
        <w:tab/>
        <w:t xml:space="preserve">Le dossier de pièces produit par la partie demanderesse révèle en outre que, </w:t>
      </w:r>
      <w:r w:rsidRPr="00B94AE0">
        <w:rPr>
          <w:rFonts w:ascii="Palatino Linotype" w:hAnsi="Palatino Linotype" w:cstheme="minorHAnsi"/>
          <w:b/>
          <w:i/>
          <w:sz w:val="22"/>
          <w:szCs w:val="22"/>
          <w:lang w:val="fr-BE"/>
        </w:rPr>
        <w:t>dans les faits</w:t>
      </w:r>
      <w:r w:rsidRPr="00B94AE0">
        <w:rPr>
          <w:rFonts w:ascii="Palatino Linotype" w:hAnsi="Palatino Linotype" w:cstheme="minorHAnsi"/>
          <w:i/>
          <w:sz w:val="22"/>
          <w:szCs w:val="22"/>
          <w:lang w:val="fr-BE"/>
        </w:rPr>
        <w:t xml:space="preserve">, </w:t>
      </w:r>
      <w:r w:rsidRPr="00B94AE0">
        <w:rPr>
          <w:rFonts w:ascii="Palatino Linotype" w:hAnsi="Palatino Linotype" w:cstheme="minorHAnsi"/>
          <w:b/>
          <w:i/>
          <w:sz w:val="22"/>
          <w:szCs w:val="22"/>
          <w:lang w:val="fr-BE"/>
        </w:rPr>
        <w:t xml:space="preserve">cette procédure n’est pas respectée.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ab/>
        <w:t xml:space="preserve">En effet, sont produits au dossier de Monsieur S. les rapports des premier et deuxième entretiens d’un demandeur d’asile </w:t>
      </w:r>
      <w:proofErr w:type="spellStart"/>
      <w:r w:rsidR="00B42183">
        <w:rPr>
          <w:rFonts w:ascii="Palatino Linotype" w:hAnsi="Palatino Linotype" w:cstheme="minorHAnsi"/>
          <w:i/>
          <w:sz w:val="22"/>
          <w:szCs w:val="22"/>
          <w:lang w:val="fr-BE"/>
        </w:rPr>
        <w:t>d</w:t>
      </w:r>
      <w:r w:rsidRPr="00B94AE0">
        <w:rPr>
          <w:rFonts w:ascii="Palatino Linotype" w:hAnsi="Palatino Linotype" w:cstheme="minorHAnsi"/>
          <w:i/>
          <w:sz w:val="22"/>
          <w:szCs w:val="22"/>
          <w:lang w:val="fr-BE"/>
        </w:rPr>
        <w:t>ubliné</w:t>
      </w:r>
      <w:proofErr w:type="spellEnd"/>
      <w:r w:rsidRPr="00B94AE0">
        <w:rPr>
          <w:rFonts w:ascii="Palatino Linotype" w:hAnsi="Palatino Linotype" w:cstheme="minorHAnsi"/>
          <w:i/>
          <w:sz w:val="22"/>
          <w:szCs w:val="22"/>
          <w:lang w:val="fr-BE"/>
        </w:rPr>
        <w:t xml:space="preserve">. Le </w:t>
      </w:r>
      <w:r w:rsidR="00B42183">
        <w:rPr>
          <w:rFonts w:ascii="Palatino Linotype" w:hAnsi="Palatino Linotype" w:cstheme="minorHAnsi"/>
          <w:i/>
          <w:sz w:val="22"/>
          <w:szCs w:val="22"/>
          <w:lang w:val="fr-BE"/>
        </w:rPr>
        <w:t>T</w:t>
      </w:r>
      <w:r w:rsidRPr="00B94AE0">
        <w:rPr>
          <w:rFonts w:ascii="Palatino Linotype" w:hAnsi="Palatino Linotype" w:cstheme="minorHAnsi"/>
          <w:i/>
          <w:sz w:val="22"/>
          <w:szCs w:val="22"/>
          <w:lang w:val="fr-BE"/>
        </w:rPr>
        <w:t xml:space="preserve">ribunal épingle, à l’examen attentif de ces pièces, que :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p>
    <w:p w:rsidR="00B94AE0" w:rsidRPr="00B94AE0" w:rsidRDefault="00B94AE0" w:rsidP="00B94AE0">
      <w:pPr>
        <w:numPr>
          <w:ilvl w:val="0"/>
          <w:numId w:val="27"/>
        </w:num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xml:space="preserve">L’assistant social de FEDASIL n’est pas présent (ni lors du premier, ni lors du second entretien), ce qui contredit l’affirmation selon laquelle le déplacement en place DUBLIN vise à permettre au demandeur d’asile de bénéficier d’un accompagnement adapté à sa situation, de la part de FEDASIL à tout le moins ; </w:t>
      </w:r>
    </w:p>
    <w:p w:rsidR="00B94AE0" w:rsidRPr="00B94AE0" w:rsidRDefault="00B94AE0" w:rsidP="00B94AE0">
      <w:pPr>
        <w:numPr>
          <w:ilvl w:val="0"/>
          <w:numId w:val="27"/>
        </w:num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xml:space="preserve">Lors du premier entretien, mené par l’Office des étrangers, celui-ci n’aborde </w:t>
      </w:r>
      <w:r w:rsidRPr="00B94AE0">
        <w:rPr>
          <w:rFonts w:ascii="Palatino Linotype" w:hAnsi="Palatino Linotype" w:cstheme="minorHAnsi"/>
          <w:i/>
          <w:sz w:val="22"/>
          <w:szCs w:val="22"/>
          <w:u w:val="single"/>
          <w:lang w:val="fr-BE"/>
        </w:rPr>
        <w:t>à aucun moment</w:t>
      </w:r>
      <w:r w:rsidRPr="00B94AE0">
        <w:rPr>
          <w:rFonts w:ascii="Palatino Linotype" w:hAnsi="Palatino Linotype" w:cstheme="minorHAnsi"/>
          <w:i/>
          <w:sz w:val="22"/>
          <w:szCs w:val="22"/>
          <w:lang w:val="fr-BE"/>
        </w:rPr>
        <w:t xml:space="preserve"> le recours possible contre l’annexe 26quater. La procédure telle que décrite dans les instructions reprises ci-dessus n’est donc pas celle qui est, dans les fait, appliquée ; </w:t>
      </w:r>
    </w:p>
    <w:p w:rsidR="00B94AE0" w:rsidRPr="00B94AE0" w:rsidRDefault="00B94AE0" w:rsidP="00B94AE0">
      <w:pPr>
        <w:numPr>
          <w:ilvl w:val="0"/>
          <w:numId w:val="27"/>
        </w:num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xml:space="preserve">Déjà lors de ce premier entretien, l’Office des étrangers fait mention, à 4 reprises, de l’éventualité d’une arrestation par la police, en cas de refus de retour volontaire (le rapport ne comporte pourtant même pas deux pages de retranscription…) ;  </w:t>
      </w:r>
    </w:p>
    <w:p w:rsidR="00B94AE0" w:rsidRPr="00B94AE0" w:rsidRDefault="00B94AE0" w:rsidP="00B94AE0">
      <w:pPr>
        <w:numPr>
          <w:ilvl w:val="0"/>
          <w:numId w:val="27"/>
        </w:num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Lors du second entretien, l’éventualité d’une arrestation par la police est à nouveau évoquée à 4 reprises… sans qu’</w:t>
      </w:r>
      <w:r w:rsidRPr="00B94AE0">
        <w:rPr>
          <w:rFonts w:ascii="Palatino Linotype" w:hAnsi="Palatino Linotype" w:cstheme="minorHAnsi"/>
          <w:i/>
          <w:sz w:val="22"/>
          <w:szCs w:val="22"/>
          <w:u w:val="single"/>
          <w:lang w:val="fr-BE"/>
        </w:rPr>
        <w:t>à aucun moment</w:t>
      </w:r>
      <w:r w:rsidRPr="00B94AE0">
        <w:rPr>
          <w:rFonts w:ascii="Palatino Linotype" w:hAnsi="Palatino Linotype" w:cstheme="minorHAnsi"/>
          <w:i/>
          <w:sz w:val="22"/>
          <w:szCs w:val="22"/>
          <w:lang w:val="fr-BE"/>
        </w:rPr>
        <w:t xml:space="preserve"> l’Office des étrangers ne l’informe de son droit au recours contre l’annexe 26quater…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xml:space="preserve">Ces pièces démontrent que – contrairement à ce que soutient FEDASIL, qui n’a ni conclu, ni répondu au dépôt de ces pièces… – la réalité des entretiens est bien loin de celle qui est présentée habituellement aux cours des tribunaux dès lors que :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p>
    <w:p w:rsidR="00B94AE0" w:rsidRPr="00B94AE0" w:rsidRDefault="00B94AE0" w:rsidP="00B94AE0">
      <w:pPr>
        <w:numPr>
          <w:ilvl w:val="0"/>
          <w:numId w:val="27"/>
        </w:num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xml:space="preserve">D’une part, aucun assistant social ne participe à la procédure des trois entretiens pourtant mise en œuvre (en dehors d’un texte légal précis sur cette procédure, s’il était besoin de l’épingler…) par FEDASIL ; </w:t>
      </w:r>
    </w:p>
    <w:p w:rsidR="00B94AE0" w:rsidRPr="00B94AE0" w:rsidRDefault="00B94AE0" w:rsidP="00B94AE0">
      <w:pPr>
        <w:numPr>
          <w:ilvl w:val="0"/>
          <w:numId w:val="27"/>
        </w:num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xml:space="preserve">D’autre part, </w:t>
      </w:r>
      <w:r w:rsidRPr="00B94AE0">
        <w:rPr>
          <w:rFonts w:ascii="Palatino Linotype" w:hAnsi="Palatino Linotype" w:cstheme="minorHAnsi"/>
          <w:i/>
          <w:sz w:val="22"/>
          <w:szCs w:val="22"/>
          <w:u w:val="single"/>
          <w:lang w:val="fr-BE"/>
        </w:rPr>
        <w:t>à aucun moment</w:t>
      </w:r>
      <w:r w:rsidRPr="00B94AE0">
        <w:rPr>
          <w:rFonts w:ascii="Palatino Linotype" w:hAnsi="Palatino Linotype" w:cstheme="minorHAnsi"/>
          <w:i/>
          <w:sz w:val="22"/>
          <w:szCs w:val="22"/>
          <w:lang w:val="fr-BE"/>
        </w:rPr>
        <w:t xml:space="preserve"> le demandeur d’asile n’est informé de ses possibilités de recours. »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Appel</w:t>
      </w:r>
      <w:r w:rsidR="00FA06A8">
        <w:rPr>
          <w:rFonts w:ascii="Palatino Linotype" w:hAnsi="Palatino Linotype" w:cstheme="minorHAnsi"/>
          <w:sz w:val="22"/>
          <w:szCs w:val="22"/>
          <w:lang w:val="fr-BE"/>
        </w:rPr>
        <w:t>é</w:t>
      </w:r>
      <w:r w:rsidRPr="00B94AE0">
        <w:rPr>
          <w:rFonts w:ascii="Palatino Linotype" w:hAnsi="Palatino Linotype" w:cstheme="minorHAnsi"/>
          <w:sz w:val="22"/>
          <w:szCs w:val="22"/>
          <w:lang w:val="fr-BE"/>
        </w:rPr>
        <w:t xml:space="preserve"> à s’expliquer sur ce sujet, de façon spécifique, via la réouverture des  débats, </w:t>
      </w:r>
      <w:r w:rsidR="00FA06A8" w:rsidRPr="00B94AE0">
        <w:rPr>
          <w:rFonts w:ascii="Palatino Linotype" w:hAnsi="Palatino Linotype" w:cstheme="minorHAnsi"/>
          <w:sz w:val="22"/>
          <w:szCs w:val="22"/>
          <w:lang w:val="fr-BE"/>
        </w:rPr>
        <w:t>F</w:t>
      </w:r>
      <w:r w:rsidR="00FA06A8">
        <w:rPr>
          <w:rFonts w:ascii="Palatino Linotype" w:hAnsi="Palatino Linotype" w:cstheme="minorHAnsi"/>
          <w:sz w:val="22"/>
          <w:szCs w:val="22"/>
          <w:lang w:val="fr-BE"/>
        </w:rPr>
        <w:t>E</w:t>
      </w:r>
      <w:r w:rsidR="00FA06A8" w:rsidRPr="00B94AE0">
        <w:rPr>
          <w:rFonts w:ascii="Palatino Linotype" w:hAnsi="Palatino Linotype" w:cstheme="minorHAnsi"/>
          <w:sz w:val="22"/>
          <w:szCs w:val="22"/>
          <w:lang w:val="fr-BE"/>
        </w:rPr>
        <w:t xml:space="preserve">DASIL </w:t>
      </w:r>
      <w:r w:rsidRPr="00B94AE0">
        <w:rPr>
          <w:rFonts w:ascii="Palatino Linotype" w:hAnsi="Palatino Linotype" w:cstheme="minorHAnsi"/>
          <w:sz w:val="22"/>
          <w:szCs w:val="22"/>
          <w:lang w:val="fr-BE"/>
        </w:rPr>
        <w:t xml:space="preserve">ne donne pas d’explication rassurante: il s’agirait d’un cas isolé, on </w:t>
      </w:r>
      <w:r w:rsidR="00FA06A8">
        <w:rPr>
          <w:rFonts w:ascii="Palatino Linotype" w:hAnsi="Palatino Linotype" w:cstheme="minorHAnsi"/>
          <w:sz w:val="22"/>
          <w:szCs w:val="22"/>
          <w:lang w:val="fr-BE"/>
        </w:rPr>
        <w:t>n’</w:t>
      </w:r>
      <w:r w:rsidRPr="00B94AE0">
        <w:rPr>
          <w:rFonts w:ascii="Palatino Linotype" w:hAnsi="Palatino Linotype" w:cstheme="minorHAnsi"/>
          <w:sz w:val="22"/>
          <w:szCs w:val="22"/>
          <w:lang w:val="fr-BE"/>
        </w:rPr>
        <w:t>est jamais à l’abri d’un imprévu,…</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Au stade des apparences de droit, il faut donc constater que la procédure des trois entretiens, </w:t>
      </w:r>
      <w:r w:rsidR="00FA06A8">
        <w:rPr>
          <w:rFonts w:ascii="Palatino Linotype" w:hAnsi="Palatino Linotype" w:cstheme="minorHAnsi"/>
          <w:sz w:val="22"/>
          <w:szCs w:val="22"/>
          <w:lang w:val="fr-BE"/>
        </w:rPr>
        <w:t>c</w:t>
      </w:r>
      <w:r w:rsidRPr="00B94AE0">
        <w:rPr>
          <w:rFonts w:ascii="Palatino Linotype" w:hAnsi="Palatino Linotype" w:cstheme="minorHAnsi"/>
          <w:sz w:val="22"/>
          <w:szCs w:val="22"/>
          <w:lang w:val="fr-BE"/>
        </w:rPr>
        <w:t>ensée informer le défendeur sur ses droits, connait apparemment un respect non systématique.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Comment évaluer si le défendeur jouira d’un encadrement adéquat lors de ces entretiens, et d’une information objective et non orientée ?  </w:t>
      </w: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B.2. L’accueil en « place Dublin » :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Le Tribunal doit bien faire état de son malaise, face à la </w:t>
      </w:r>
      <w:r w:rsidR="003A1223">
        <w:rPr>
          <w:rFonts w:ascii="Palatino Linotype" w:hAnsi="Palatino Linotype" w:cstheme="minorHAnsi"/>
          <w:sz w:val="22"/>
          <w:szCs w:val="22"/>
          <w:lang w:val="fr-BE"/>
        </w:rPr>
        <w:t>multiplication des procédures «</w:t>
      </w:r>
      <w:r w:rsidRPr="00B94AE0">
        <w:rPr>
          <w:rFonts w:ascii="Palatino Linotype" w:hAnsi="Palatino Linotype" w:cstheme="minorHAnsi"/>
          <w:sz w:val="22"/>
          <w:szCs w:val="22"/>
          <w:lang w:val="fr-BE"/>
        </w:rPr>
        <w:t>Dublin</w:t>
      </w:r>
      <w:r w:rsidR="003A1223">
        <w:rPr>
          <w:rFonts w:ascii="Palatino Linotype" w:hAnsi="Palatino Linotype" w:cstheme="minorHAnsi"/>
          <w:sz w:val="22"/>
          <w:szCs w:val="22"/>
          <w:lang w:val="fr-BE"/>
        </w:rPr>
        <w:t>» liée au fait que certains «</w:t>
      </w:r>
      <w:r w:rsidRPr="00B94AE0">
        <w:rPr>
          <w:rFonts w:ascii="Palatino Linotype" w:hAnsi="Palatino Linotype" w:cstheme="minorHAnsi"/>
          <w:sz w:val="22"/>
          <w:szCs w:val="22"/>
          <w:lang w:val="fr-BE"/>
        </w:rPr>
        <w:t>détails» ne son</w:t>
      </w:r>
      <w:r>
        <w:rPr>
          <w:rFonts w:ascii="Palatino Linotype" w:hAnsi="Palatino Linotype" w:cstheme="minorHAnsi"/>
          <w:sz w:val="22"/>
          <w:szCs w:val="22"/>
          <w:lang w:val="fr-BE"/>
        </w:rPr>
        <w:t xml:space="preserve">t pas révélés précisément par </w:t>
      </w:r>
      <w:r w:rsidR="003A1223">
        <w:rPr>
          <w:rFonts w:ascii="Palatino Linotype" w:hAnsi="Palatino Linotype" w:cstheme="minorHAnsi"/>
          <w:sz w:val="22"/>
          <w:szCs w:val="22"/>
          <w:lang w:val="fr-BE"/>
        </w:rPr>
        <w:t>FE</w:t>
      </w:r>
      <w:r w:rsidR="003A1223" w:rsidRPr="00B94AE0">
        <w:rPr>
          <w:rFonts w:ascii="Palatino Linotype" w:hAnsi="Palatino Linotype" w:cstheme="minorHAnsi"/>
          <w:sz w:val="22"/>
          <w:szCs w:val="22"/>
          <w:lang w:val="fr-BE"/>
        </w:rPr>
        <w:t>DASIL</w:t>
      </w:r>
      <w:r w:rsidRPr="00B94AE0">
        <w:rPr>
          <w:rFonts w:ascii="Palatino Linotype" w:hAnsi="Palatino Linotype" w:cstheme="minorHAnsi"/>
          <w:sz w:val="22"/>
          <w:szCs w:val="22"/>
          <w:lang w:val="fr-BE"/>
        </w:rPr>
        <w:t>.</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Alors certes, </w:t>
      </w:r>
      <w:r w:rsidR="003A1223" w:rsidRPr="00B94AE0">
        <w:rPr>
          <w:rFonts w:ascii="Palatino Linotype" w:hAnsi="Palatino Linotype" w:cstheme="minorHAnsi"/>
          <w:sz w:val="22"/>
          <w:szCs w:val="22"/>
          <w:lang w:val="fr-BE"/>
        </w:rPr>
        <w:t>F</w:t>
      </w:r>
      <w:r w:rsidR="003A1223">
        <w:rPr>
          <w:rFonts w:ascii="Palatino Linotype" w:hAnsi="Palatino Linotype" w:cstheme="minorHAnsi"/>
          <w:sz w:val="22"/>
          <w:szCs w:val="22"/>
          <w:lang w:val="fr-BE"/>
        </w:rPr>
        <w:t>E</w:t>
      </w:r>
      <w:r w:rsidR="003A1223" w:rsidRPr="00B94AE0">
        <w:rPr>
          <w:rFonts w:ascii="Palatino Linotype" w:hAnsi="Palatino Linotype" w:cstheme="minorHAnsi"/>
          <w:sz w:val="22"/>
          <w:szCs w:val="22"/>
          <w:lang w:val="fr-BE"/>
        </w:rPr>
        <w:t xml:space="preserve">DASIL </w:t>
      </w:r>
      <w:r w:rsidRPr="00B94AE0">
        <w:rPr>
          <w:rFonts w:ascii="Palatino Linotype" w:hAnsi="Palatino Linotype" w:cstheme="minorHAnsi"/>
          <w:sz w:val="22"/>
          <w:szCs w:val="22"/>
          <w:lang w:val="fr-BE"/>
        </w:rPr>
        <w:t>n’a pas être soupçonné de quoi que ce soit.</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Le T</w:t>
      </w:r>
      <w:r>
        <w:rPr>
          <w:rFonts w:ascii="Palatino Linotype" w:hAnsi="Palatino Linotype" w:cstheme="minorHAnsi"/>
          <w:sz w:val="22"/>
          <w:szCs w:val="22"/>
          <w:lang w:val="fr-BE"/>
        </w:rPr>
        <w:t xml:space="preserve">ribunal a bien conscience que </w:t>
      </w:r>
      <w:r w:rsidR="003A1223">
        <w:rPr>
          <w:rFonts w:ascii="Palatino Linotype" w:hAnsi="Palatino Linotype" w:cstheme="minorHAnsi"/>
          <w:sz w:val="22"/>
          <w:szCs w:val="22"/>
          <w:lang w:val="fr-BE"/>
        </w:rPr>
        <w:t>FE</w:t>
      </w:r>
      <w:r w:rsidR="003A1223" w:rsidRPr="00B94AE0">
        <w:rPr>
          <w:rFonts w:ascii="Palatino Linotype" w:hAnsi="Palatino Linotype" w:cstheme="minorHAnsi"/>
          <w:sz w:val="22"/>
          <w:szCs w:val="22"/>
          <w:lang w:val="fr-BE"/>
        </w:rPr>
        <w:t xml:space="preserve">DASIL </w:t>
      </w:r>
      <w:r w:rsidRPr="00B94AE0">
        <w:rPr>
          <w:rFonts w:ascii="Palatino Linotype" w:hAnsi="Palatino Linotype" w:cstheme="minorHAnsi"/>
          <w:sz w:val="22"/>
          <w:szCs w:val="22"/>
          <w:lang w:val="fr-BE"/>
        </w:rPr>
        <w:t>doit gérer une problématique difficile, en subissant des contraintes qui ne sont pas de son ressort (ex. : l’incertitude de personnes fragilisées, qui sont dans l’attente d’une décision suite à un recours en annulation contre une annexe 26quater … qui n’arrive jamais en temps utile</w:t>
      </w:r>
      <w:r w:rsidRPr="00B94AE0">
        <w:rPr>
          <w:rFonts w:ascii="Palatino Linotype" w:hAnsi="Palatino Linotype" w:cstheme="minorHAnsi"/>
          <w:sz w:val="22"/>
          <w:szCs w:val="22"/>
          <w:vertAlign w:val="superscript"/>
        </w:rPr>
        <w:footnoteReference w:id="12"/>
      </w:r>
      <w:r w:rsidRPr="00B94AE0">
        <w:rPr>
          <w:rFonts w:ascii="Palatino Linotype" w:hAnsi="Palatino Linotype" w:cstheme="minorHAnsi"/>
          <w:sz w:val="22"/>
          <w:szCs w:val="22"/>
          <w:lang w:val="fr-BE"/>
        </w:rPr>
        <w:t>).</w:t>
      </w: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E45C22" w:rsidRDefault="00E45C22" w:rsidP="00B94AE0">
      <w:pPr>
        <w:tabs>
          <w:tab w:val="center" w:pos="6372"/>
        </w:tabs>
        <w:suppressAutoHyphens/>
        <w:spacing w:line="240" w:lineRule="atLeast"/>
        <w:jc w:val="both"/>
        <w:rPr>
          <w:rFonts w:ascii="Palatino Linotype" w:hAnsi="Palatino Linotype" w:cstheme="minorHAnsi"/>
          <w:sz w:val="22"/>
          <w:szCs w:val="22"/>
          <w:lang w:val="fr-BE"/>
        </w:rPr>
      </w:pPr>
    </w:p>
    <w:p w:rsidR="00E45C22" w:rsidRDefault="00E45C22"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Il n’en reste pas moins que la compétence matérielle du Tribunal est d’apprécier si l’aide sociale est bien disponible, sans discontinuité, au bénéfice du demandeur de protection internationale tan</w:t>
      </w:r>
      <w:r w:rsidR="003A1223">
        <w:rPr>
          <w:rFonts w:ascii="Palatino Linotype" w:hAnsi="Palatino Linotype" w:cstheme="minorHAnsi"/>
          <w:sz w:val="22"/>
          <w:szCs w:val="22"/>
          <w:lang w:val="fr-BE"/>
        </w:rPr>
        <w:t>t qu’il est sur le territoire (</w:t>
      </w:r>
      <w:r w:rsidRPr="00B94AE0">
        <w:rPr>
          <w:rFonts w:ascii="Palatino Linotype" w:hAnsi="Palatino Linotype" w:cstheme="minorHAnsi"/>
          <w:sz w:val="22"/>
          <w:szCs w:val="22"/>
          <w:lang w:val="fr-BE"/>
        </w:rPr>
        <w:t xml:space="preserve">arrêt CEDH </w:t>
      </w:r>
      <w:proofErr w:type="spellStart"/>
      <w:r w:rsidRPr="00B94AE0">
        <w:rPr>
          <w:rFonts w:ascii="Palatino Linotype" w:hAnsi="Palatino Linotype" w:cstheme="minorHAnsi"/>
          <w:sz w:val="22"/>
          <w:szCs w:val="22"/>
          <w:lang w:val="fr-BE"/>
        </w:rPr>
        <w:t>Gitsi</w:t>
      </w:r>
      <w:proofErr w:type="spellEnd"/>
      <w:r w:rsidRPr="00B94AE0">
        <w:rPr>
          <w:rFonts w:ascii="Palatino Linotype" w:hAnsi="Palatino Linotype" w:cstheme="minorHAnsi"/>
          <w:sz w:val="22"/>
          <w:szCs w:val="22"/>
          <w:lang w:val="fr-BE"/>
        </w:rPr>
        <w:t xml:space="preserve"> – La </w:t>
      </w:r>
      <w:proofErr w:type="spellStart"/>
      <w:r w:rsidRPr="00B94AE0">
        <w:rPr>
          <w:rFonts w:ascii="Palatino Linotype" w:hAnsi="Palatino Linotype" w:cstheme="minorHAnsi"/>
          <w:sz w:val="22"/>
          <w:szCs w:val="22"/>
          <w:lang w:val="fr-BE"/>
        </w:rPr>
        <w:t>Cimade</w:t>
      </w:r>
      <w:proofErr w:type="spellEnd"/>
      <w:r w:rsidRPr="00B94AE0">
        <w:rPr>
          <w:rFonts w:ascii="Palatino Linotype" w:hAnsi="Palatino Linotype" w:cstheme="minorHAnsi"/>
          <w:sz w:val="22"/>
          <w:szCs w:val="22"/>
          <w:lang w:val="fr-BE"/>
        </w:rPr>
        <w:t>, 2012).</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Le Tribunal a déjà fait </w:t>
      </w:r>
      <w:r w:rsidR="000514BA">
        <w:rPr>
          <w:rFonts w:ascii="Palatino Linotype" w:hAnsi="Palatino Linotype" w:cstheme="minorHAnsi"/>
          <w:sz w:val="22"/>
          <w:szCs w:val="22"/>
          <w:lang w:val="fr-BE"/>
        </w:rPr>
        <w:t>référence à son incompréhension</w:t>
      </w:r>
      <w:r w:rsidRPr="00B94AE0">
        <w:rPr>
          <w:rFonts w:ascii="Palatino Linotype" w:hAnsi="Palatino Linotype" w:cstheme="minorHAnsi"/>
          <w:sz w:val="22"/>
          <w:szCs w:val="22"/>
          <w:lang w:val="fr-BE"/>
        </w:rPr>
        <w:t xml:space="preserve"> face à FEDASIL</w:t>
      </w:r>
      <w:r w:rsidR="000514BA">
        <w:rPr>
          <w:rFonts w:ascii="Palatino Linotype" w:hAnsi="Palatino Linotype" w:cstheme="minorHAnsi"/>
          <w:sz w:val="22"/>
          <w:szCs w:val="22"/>
          <w:lang w:val="fr-BE"/>
        </w:rPr>
        <w:t>,</w:t>
      </w:r>
      <w:r w:rsidRPr="00B94AE0">
        <w:rPr>
          <w:rFonts w:ascii="Palatino Linotype" w:hAnsi="Palatino Linotype" w:cstheme="minorHAnsi"/>
          <w:sz w:val="22"/>
          <w:szCs w:val="22"/>
          <w:lang w:val="fr-BE"/>
        </w:rPr>
        <w:t xml:space="preserve"> qui refuse de produire certaines pièces en sa possession (ex. « les accords et modalités » dont il est fait état dans la circulaire en cas d’intervention forcée de la police dans un centre d’accueil « places retour »), ou qui ne produit pas d’attestation d’un directeur de centre d’accueil « classique » pour essayer d’évaluer les différences d’approches éventuelles entre le deux types de centres (la question est pourtant au cœur du débat).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Cette incompréhension n’est pas sans s’accroitre à la l</w:t>
      </w:r>
      <w:r w:rsidR="000514BA">
        <w:rPr>
          <w:rFonts w:ascii="Palatino Linotype" w:hAnsi="Palatino Linotype" w:cstheme="minorHAnsi"/>
          <w:sz w:val="22"/>
          <w:szCs w:val="22"/>
          <w:lang w:val="fr-BE"/>
        </w:rPr>
        <w:t>ecture du guide opérationnel « </w:t>
      </w:r>
      <w:r w:rsidRPr="00B94AE0">
        <w:rPr>
          <w:rFonts w:ascii="Palatino Linotype" w:hAnsi="Palatino Linotype" w:cstheme="minorHAnsi"/>
          <w:sz w:val="22"/>
          <w:szCs w:val="22"/>
          <w:lang w:val="fr-BE"/>
        </w:rPr>
        <w:t>accompagnement dans les places DUBLIN », édité en 2021, et largement diffusé dans différents dossiers.</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On peut ainsi y lire que la spécificité de l’accueil DUBLIN ne se limite pas à la procédure des trois rendez-vous, mais aussi</w:t>
      </w:r>
      <w:r w:rsidRPr="00B94AE0">
        <w:rPr>
          <w:rFonts w:ascii="Palatino Linotype" w:hAnsi="Palatino Linotype" w:cstheme="minorHAnsi"/>
          <w:sz w:val="22"/>
          <w:szCs w:val="22"/>
          <w:vertAlign w:val="superscript"/>
        </w:rPr>
        <w:footnoteReference w:id="13"/>
      </w:r>
      <w:r w:rsidRPr="00B94AE0">
        <w:rPr>
          <w:rFonts w:ascii="Palatino Linotype" w:hAnsi="Palatino Linotype" w:cstheme="minorHAnsi"/>
          <w:sz w:val="22"/>
          <w:szCs w:val="22"/>
          <w:lang w:val="fr-BE"/>
        </w:rPr>
        <w:t>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 Le caractère transitoire du séjour entraîne l’adaptation de l’accompagnement à une so</w:t>
      </w:r>
      <w:r w:rsidR="003A74E0">
        <w:rPr>
          <w:rFonts w:ascii="Palatino Linotype" w:hAnsi="Palatino Linotype" w:cstheme="minorHAnsi"/>
          <w:i/>
          <w:sz w:val="22"/>
          <w:szCs w:val="22"/>
          <w:lang w:val="fr-BE"/>
        </w:rPr>
        <w:t>rte d’assistance fonctionnelle (</w:t>
      </w:r>
      <w:r w:rsidRPr="00B94AE0">
        <w:rPr>
          <w:rFonts w:ascii="Palatino Linotype" w:hAnsi="Palatino Linotype" w:cstheme="minorHAnsi"/>
          <w:i/>
          <w:sz w:val="22"/>
          <w:szCs w:val="22"/>
          <w:lang w:val="fr-BE"/>
        </w:rPr>
        <w:t>l’essentiel n’est pas, par exemple, d’inscrire les enfants à l’école mais de préparer le transfert au plus vite pour qu’ils y soient inscrits dans l’Etat membre compétant</w:t>
      </w:r>
      <w:r w:rsidR="003A74E0">
        <w:rPr>
          <w:rFonts w:ascii="Palatino Linotype" w:hAnsi="Palatino Linotype" w:cstheme="minorHAnsi"/>
          <w:i/>
          <w:sz w:val="22"/>
          <w:szCs w:val="22"/>
          <w:lang w:val="fr-BE"/>
        </w:rPr>
        <w:t>)</w:t>
      </w:r>
      <w:r w:rsidRPr="00B94AE0">
        <w:rPr>
          <w:rFonts w:ascii="Palatino Linotype" w:hAnsi="Palatino Linotype" w:cstheme="minorHAnsi"/>
          <w:i/>
          <w:sz w:val="22"/>
          <w:szCs w:val="22"/>
          <w:lang w:val="fr-BE"/>
        </w:rPr>
        <w:t xml:space="preserve"> »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….les buts principaux de l’accompagnement sont la collaboration à l’organisation du transfert, le suivi en cas d’introduction d’un recours, le suivi des vulnérabilités spécifiques.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xml:space="preserve">« … Le caractère particulier des places DUBLIIN implique également l’utilisation d’un certain style de communication, en l’espère plutôt directif… »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Enfin, l’accompagnement se caractérise par le rôle que joue le résident. Une grande collaboration est attendue de sa part pour que le transfert vers l’Etat membre responsable puisse s’organiser dans les meilleurs conditions…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 </w:t>
      </w: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Certaines expressions attirent l’attention, alors que bien des demandeurs de protection internationales se plaignent de « pressions indues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3A74E0" w:rsidP="00B94AE0">
      <w:pPr>
        <w:tabs>
          <w:tab w:val="center" w:pos="6372"/>
        </w:tabs>
        <w:suppressAutoHyphens/>
        <w:spacing w:line="240" w:lineRule="atLeast"/>
        <w:jc w:val="both"/>
        <w:rPr>
          <w:rFonts w:ascii="Palatino Linotype" w:hAnsi="Palatino Linotype" w:cstheme="minorHAnsi"/>
          <w:sz w:val="22"/>
          <w:szCs w:val="22"/>
          <w:lang w:val="fr-BE"/>
        </w:rPr>
      </w:pPr>
      <w:r>
        <w:rPr>
          <w:rFonts w:ascii="Palatino Linotype" w:hAnsi="Palatino Linotype" w:cstheme="minorHAnsi"/>
          <w:sz w:val="22"/>
          <w:szCs w:val="22"/>
          <w:lang w:val="fr-BE"/>
        </w:rPr>
        <w:t>Le T</w:t>
      </w:r>
      <w:r w:rsidR="00B94AE0" w:rsidRPr="00B94AE0">
        <w:rPr>
          <w:rFonts w:ascii="Palatino Linotype" w:hAnsi="Palatino Linotype" w:cstheme="minorHAnsi"/>
          <w:sz w:val="22"/>
          <w:szCs w:val="22"/>
          <w:lang w:val="fr-BE"/>
        </w:rPr>
        <w:t xml:space="preserve">ribunal doit constater que ce « programme directif » est bien éloigné à ce </w:t>
      </w:r>
      <w:r w:rsidR="00B94AE0">
        <w:rPr>
          <w:rFonts w:ascii="Palatino Linotype" w:hAnsi="Palatino Linotype" w:cstheme="minorHAnsi"/>
          <w:sz w:val="22"/>
          <w:szCs w:val="22"/>
          <w:lang w:val="fr-BE"/>
        </w:rPr>
        <w:t xml:space="preserve">qui est réellement plaidé par </w:t>
      </w:r>
      <w:proofErr w:type="spellStart"/>
      <w:r>
        <w:rPr>
          <w:rFonts w:ascii="Palatino Linotype" w:hAnsi="Palatino Linotype" w:cstheme="minorHAnsi"/>
          <w:sz w:val="22"/>
          <w:szCs w:val="22"/>
          <w:lang w:val="fr-BE"/>
        </w:rPr>
        <w:t>Fe</w:t>
      </w:r>
      <w:r w:rsidRPr="00B94AE0">
        <w:rPr>
          <w:rFonts w:ascii="Palatino Linotype" w:hAnsi="Palatino Linotype" w:cstheme="minorHAnsi"/>
          <w:sz w:val="22"/>
          <w:szCs w:val="22"/>
          <w:lang w:val="fr-BE"/>
        </w:rPr>
        <w:t>dasil</w:t>
      </w:r>
      <w:proofErr w:type="spellEnd"/>
      <w:r w:rsidR="00B94AE0" w:rsidRPr="00B94AE0">
        <w:rPr>
          <w:rFonts w:ascii="Palatino Linotype" w:hAnsi="Palatino Linotype" w:cstheme="minorHAnsi"/>
          <w:sz w:val="22"/>
          <w:szCs w:val="22"/>
          <w:lang w:val="fr-BE"/>
        </w:rPr>
        <w:t>, à savoir que seule une collaboration (se limitant éventuellement à une simple présence) à la procédure des 3 entretiens est attendue du demandeur de protection internationale.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Qu’en penser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Quelles conséquences concrètes dans le quotidien de l’accueil en places Dublin, dans le but de « la collaboration au transfert » marié avec un style de communication « plutôt directif »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Comment concilier ce type de directives avec la neutralité du travail social</w:t>
      </w:r>
      <w:r>
        <w:rPr>
          <w:rFonts w:ascii="Palatino Linotype" w:hAnsi="Palatino Linotype" w:cstheme="minorHAnsi"/>
          <w:sz w:val="22"/>
          <w:szCs w:val="22"/>
          <w:lang w:val="fr-BE"/>
        </w:rPr>
        <w:t xml:space="preserve"> jusqu’à présent défendue par </w:t>
      </w:r>
      <w:r w:rsidR="005B74FC">
        <w:rPr>
          <w:rFonts w:ascii="Palatino Linotype" w:hAnsi="Palatino Linotype" w:cstheme="minorHAnsi"/>
          <w:sz w:val="22"/>
          <w:szCs w:val="22"/>
          <w:lang w:val="fr-BE"/>
        </w:rPr>
        <w:t>FE</w:t>
      </w:r>
      <w:r w:rsidR="005B74FC" w:rsidRPr="00B94AE0">
        <w:rPr>
          <w:rFonts w:ascii="Palatino Linotype" w:hAnsi="Palatino Linotype" w:cstheme="minorHAnsi"/>
          <w:sz w:val="22"/>
          <w:szCs w:val="22"/>
          <w:lang w:val="fr-BE"/>
        </w:rPr>
        <w:t>DASIL </w:t>
      </w:r>
      <w:r w:rsidRPr="00B94AE0">
        <w:rPr>
          <w:rFonts w:ascii="Palatino Linotype" w:hAnsi="Palatino Linotype" w:cstheme="minorHAnsi"/>
          <w:sz w:val="22"/>
          <w:szCs w:val="22"/>
          <w:lang w:val="fr-BE"/>
        </w:rPr>
        <w:t xml:space="preserve">?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5B74FC" w:rsidP="00B94AE0">
      <w:pPr>
        <w:tabs>
          <w:tab w:val="center" w:pos="6372"/>
        </w:tabs>
        <w:suppressAutoHyphens/>
        <w:spacing w:line="240" w:lineRule="atLeast"/>
        <w:jc w:val="both"/>
        <w:rPr>
          <w:rFonts w:ascii="Palatino Linotype" w:hAnsi="Palatino Linotype" w:cstheme="minorHAnsi"/>
          <w:sz w:val="22"/>
          <w:szCs w:val="22"/>
          <w:lang w:val="fr-BE"/>
        </w:rPr>
      </w:pPr>
      <w:r>
        <w:rPr>
          <w:rFonts w:ascii="Palatino Linotype" w:hAnsi="Palatino Linotype" w:cstheme="minorHAnsi"/>
          <w:sz w:val="22"/>
          <w:szCs w:val="22"/>
          <w:lang w:val="fr-BE"/>
        </w:rPr>
        <w:t>FE</w:t>
      </w:r>
      <w:r w:rsidRPr="00B94AE0">
        <w:rPr>
          <w:rFonts w:ascii="Palatino Linotype" w:hAnsi="Palatino Linotype" w:cstheme="minorHAnsi"/>
          <w:sz w:val="22"/>
          <w:szCs w:val="22"/>
          <w:lang w:val="fr-BE"/>
        </w:rPr>
        <w:t xml:space="preserve">DASIL </w:t>
      </w:r>
      <w:r w:rsidR="00B94AE0" w:rsidRPr="00B94AE0">
        <w:rPr>
          <w:rFonts w:ascii="Palatino Linotype" w:hAnsi="Palatino Linotype" w:cstheme="minorHAnsi"/>
          <w:sz w:val="22"/>
          <w:szCs w:val="22"/>
          <w:lang w:val="fr-BE"/>
        </w:rPr>
        <w:t>est, en effet, tenu par une charte de déontologie, qui a été coulée dans un arrêté ministériel du</w:t>
      </w:r>
      <w:r>
        <w:rPr>
          <w:rFonts w:ascii="Palatino Linotype" w:hAnsi="Palatino Linotype" w:cstheme="minorHAnsi"/>
          <w:sz w:val="22"/>
          <w:szCs w:val="22"/>
          <w:lang w:val="fr-BE"/>
        </w:rPr>
        <w:t xml:space="preserve"> 19/12/</w:t>
      </w:r>
      <w:r w:rsidR="00B94AE0" w:rsidRPr="00B94AE0">
        <w:rPr>
          <w:rFonts w:ascii="Palatino Linotype" w:hAnsi="Palatino Linotype" w:cstheme="minorHAnsi"/>
          <w:sz w:val="22"/>
          <w:szCs w:val="22"/>
          <w:lang w:val="fr-BE"/>
        </w:rPr>
        <w:t>2013, modifié par arrêté</w:t>
      </w:r>
      <w:r>
        <w:rPr>
          <w:rFonts w:ascii="Palatino Linotype" w:hAnsi="Palatino Linotype" w:cstheme="minorHAnsi"/>
          <w:sz w:val="22"/>
          <w:szCs w:val="22"/>
          <w:lang w:val="fr-BE"/>
        </w:rPr>
        <w:t xml:space="preserve"> ministériel publié au Moniteur </w:t>
      </w:r>
      <w:r w:rsidR="00B94AE0" w:rsidRPr="00B94AE0">
        <w:rPr>
          <w:rFonts w:ascii="Palatino Linotype" w:hAnsi="Palatino Linotype" w:cstheme="minorHAnsi"/>
          <w:sz w:val="22"/>
          <w:szCs w:val="22"/>
          <w:lang w:val="fr-BE"/>
        </w:rPr>
        <w:t>Belge du 18</w:t>
      </w:r>
      <w:r>
        <w:rPr>
          <w:rFonts w:ascii="Palatino Linotype" w:hAnsi="Palatino Linotype" w:cstheme="minorHAnsi"/>
          <w:sz w:val="22"/>
          <w:szCs w:val="22"/>
          <w:lang w:val="fr-BE"/>
        </w:rPr>
        <w:t>/04/</w:t>
      </w:r>
      <w:r w:rsidR="00B94AE0" w:rsidRPr="00B94AE0">
        <w:rPr>
          <w:rFonts w:ascii="Palatino Linotype" w:hAnsi="Palatino Linotype" w:cstheme="minorHAnsi"/>
          <w:sz w:val="22"/>
          <w:szCs w:val="22"/>
          <w:lang w:val="fr-BE"/>
        </w:rPr>
        <w:t>2014.</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Il en ressort notamment, sans différencier les types d’accueil, que :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xml:space="preserve">« Le code de déontologie que nous vous présentons est le résultat d’une concertation approfondie entre les représentants de tous les partenaires du réseau d’accueil. Il veut offrir des lignes de conduite à tout le personnel des structures d’accueil en contact professionnel avec les bénéficiaires de l’accueil. Dans la recherche d’une politique d’intégrité dynamique, il veut aider à évaluer ce qui est et n’est pas approprié. Il est basé sur un certain nombre de lignes directrices qui s’articulent autour de quatre valeurs fondamentales :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Respect</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Orientation client</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Impartialité</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xml:space="preserve">- Discrétion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RESPECT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L’accueil et l’encadrement se font dans le respect des spécificités de chaque résident, quelle que soit son origine. Malgré la situation de dépendance et d’incertitude dans laquelle se trouvent les résidents nous les considérons comme des personnes responsables avec d’une part, des droits fondamentaux et des libertés, et d’autre part, des devoirs.</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Vous respectez l’intégrité personnelle des résidents. Vous vous comportez de manière correcte et polie. Vous n’émettez pas de jugements de valeur, en particulier en matière de différences culturelles. - Vous respectez la liberté d’expression des résidents, y compris en ce qui concerne la qualité des services fournis.</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u w:val="single"/>
          <w:lang w:val="fr-BE"/>
        </w:rPr>
      </w:pPr>
      <w:r w:rsidRPr="00B94AE0">
        <w:rPr>
          <w:rFonts w:ascii="Palatino Linotype" w:hAnsi="Palatino Linotype" w:cstheme="minorHAnsi"/>
          <w:i/>
          <w:sz w:val="20"/>
          <w:szCs w:val="22"/>
          <w:lang w:val="fr-BE"/>
        </w:rPr>
        <w:t xml:space="preserve">- </w:t>
      </w:r>
      <w:r w:rsidRPr="00B94AE0">
        <w:rPr>
          <w:rFonts w:ascii="Palatino Linotype" w:hAnsi="Palatino Linotype" w:cstheme="minorHAnsi"/>
          <w:i/>
          <w:sz w:val="20"/>
          <w:szCs w:val="22"/>
          <w:u w:val="single"/>
          <w:lang w:val="fr-BE"/>
        </w:rPr>
        <w:t>Vous respectez la liberté d’agir des résidents et les choix qu’ils font quant à leur situation de séjour et leur procédure (d’asile), en tenant compte des limitations réglementaires et légales.</w:t>
      </w:r>
      <w:r w:rsidRPr="00B94AE0">
        <w:rPr>
          <w:rFonts w:ascii="Palatino Linotype" w:hAnsi="Palatino Linotype" w:cstheme="minorHAnsi"/>
          <w:i/>
          <w:sz w:val="20"/>
          <w:szCs w:val="22"/>
          <w:u w:val="single"/>
          <w:vertAlign w:val="superscript"/>
        </w:rPr>
        <w:footnoteReference w:id="14"/>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xml:space="preserve">- </w:t>
      </w:r>
      <w:r w:rsidRPr="00B94AE0">
        <w:rPr>
          <w:rFonts w:ascii="Palatino Linotype" w:hAnsi="Palatino Linotype" w:cstheme="minorHAnsi"/>
          <w:i/>
          <w:sz w:val="20"/>
          <w:szCs w:val="22"/>
          <w:u w:val="single"/>
          <w:lang w:val="fr-BE"/>
        </w:rPr>
        <w:t>Vous respectez la vie privée des résidents. Vous êtes conscient que la structure d’accueil est leur lieu de vie. Vous respectez l’autorité parentale et les droits de l’enfant</w:t>
      </w:r>
      <w:r w:rsidRPr="00B94AE0">
        <w:rPr>
          <w:rFonts w:ascii="Palatino Linotype" w:hAnsi="Palatino Linotype" w:cstheme="minorHAnsi"/>
          <w:i/>
          <w:sz w:val="20"/>
          <w:szCs w:val="22"/>
          <w:lang w:val="fr-BE"/>
        </w:rPr>
        <w:t>.</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Vous respectez le secret de la correspondance.</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ORIENTATION CLIENT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Les résidents ont droit à une prestation de service fiable et efficace. C’est pourquoi, nous leur offrons un soutien de qualité en tenant compte de leurs besoins spécifiques. La stimulation de leur autonomie et de leur responsabilité est primordiale.</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Vous êtes impliqué et vous avez une attitude d’écoute active. Dans vos rapports avec les résidents, vous tenez compte, en fonction des moyens disponibles, des difficultés spécifiques telles que le choc culturel, la perte d’identité, la perte de structure sociale.</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Vous visez la transparence et veillez à ce que les résidents sachent clairement quels services ils peuvent attendre de vous. Dans la mesure du possible, vous veillez à ce que les différences culturelles et la langue n’entravent pas la bonne communication.</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Vous êtes compétent(e) dans votre métier. Votre prestation de service est pertinente et fournie dans les délais. Vous travaillez de façon minutieuse et correcte et vous vous engagez à fournir un travail de qualité. Vous faites de votre mieux pour rester informé d’une manière optimale de la situation du résident dans les limites de votre fonction.</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Vous tenez compte de l’intérêt individuel de chaque résident tout en respectant l’intérêt général de la structure d’accueil. Dans la limite des moyens disponibles vous tentez de (faire) corriger les comportements enfreignant les limites conformément au règlement d’ordre intérieur.</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IMPARTIALITE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u w:val="single"/>
          <w:lang w:val="fr-BE"/>
        </w:rPr>
        <w:t>Dans des circonstances identiques, les résidents ont droit à un traitement égal. Ainsi, dans chaque situation, vous devez exercer votre fonction d’une manière neutre et objective</w:t>
      </w:r>
      <w:r w:rsidRPr="00B94AE0">
        <w:rPr>
          <w:rFonts w:ascii="Palatino Linotype" w:hAnsi="Palatino Linotype" w:cstheme="minorHAnsi"/>
          <w:i/>
          <w:sz w:val="20"/>
          <w:szCs w:val="22"/>
          <w:lang w:val="fr-BE"/>
        </w:rPr>
        <w:t>. Vous veillez à ce que vos éventuels intérêts personnels n’influencent pas vos actions professionnelles.</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u w:val="single"/>
          <w:lang w:val="fr-BE"/>
        </w:rPr>
      </w:pPr>
      <w:r w:rsidRPr="00B94AE0">
        <w:rPr>
          <w:rFonts w:ascii="Palatino Linotype" w:hAnsi="Palatino Linotype" w:cstheme="minorHAnsi"/>
          <w:i/>
          <w:sz w:val="20"/>
          <w:szCs w:val="22"/>
          <w:lang w:val="fr-BE"/>
        </w:rPr>
        <w:t xml:space="preserve">- </w:t>
      </w:r>
      <w:r w:rsidRPr="00B94AE0">
        <w:rPr>
          <w:rFonts w:ascii="Palatino Linotype" w:hAnsi="Palatino Linotype" w:cstheme="minorHAnsi"/>
          <w:i/>
          <w:sz w:val="20"/>
          <w:szCs w:val="22"/>
          <w:u w:val="single"/>
          <w:lang w:val="fr-BE"/>
        </w:rPr>
        <w:t>Vous tendez à un traitement égalitaire des personnes et/ou des dossiers qui doivent être traités sur base d’une réglementation identique. Toute forme de discrimination est interdite. Par discrimination, on entend toute forme de distinction, d’exclusion, de limitation ou de préférence sur base entre autres de la nationalité, du groupe ethnique, de la couleur de la peau, de l’origine, des convictions philosophiques, religieuses ou politiques, de l’état de santé, du handicap, du genre ou de l’orientation sexuelle.</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Des préférences personnelles ne peuvent aboutir à des faveurs ou des désavantages. Cela signifie que vous devez pouvoir justifier que chaque action est basée sur des critères objectifs.</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Vous recherchez en permanence le juste équilibre entre implication professionnelle et distance professionnelle. Afin de prévenir tout (e apparence de) favoritisme et de préserver la relation professionnelle, vous évitez les relations amicales ou intimes avec les résidents. Vous ne communiquez pas vos données privées ni celles de vos collègues aux résidents.</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Vous n’acceptez pas d’avantages personnels pouvant mener à un service en retour. Cela vaut également pour les avantages bénéficiant à des amis, collègues, famille ou autres personnes. Dans des cas exceptionnels, vous pouvez accepter des cadeaux symboliques d’une valeur minimale des résidents. Vous le signalez toujours à votre responsable.</w:t>
      </w:r>
    </w:p>
    <w:p w:rsid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r w:rsidRPr="00B94AE0">
        <w:rPr>
          <w:rFonts w:ascii="Palatino Linotype" w:hAnsi="Palatino Linotype" w:cstheme="minorHAnsi"/>
          <w:i/>
          <w:sz w:val="20"/>
          <w:szCs w:val="22"/>
          <w:lang w:val="fr-BE"/>
        </w:rPr>
        <w:t>…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0"/>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Le Tribunal en tire pour conclusion que l’accueil o</w:t>
      </w:r>
      <w:r>
        <w:rPr>
          <w:rFonts w:ascii="Palatino Linotype" w:hAnsi="Palatino Linotype" w:cstheme="minorHAnsi"/>
          <w:sz w:val="22"/>
          <w:szCs w:val="22"/>
          <w:lang w:val="fr-BE"/>
        </w:rPr>
        <w:t xml:space="preserve">ctroyé par </w:t>
      </w:r>
      <w:r w:rsidR="000E606A">
        <w:rPr>
          <w:rFonts w:ascii="Palatino Linotype" w:hAnsi="Palatino Linotype" w:cstheme="minorHAnsi"/>
          <w:sz w:val="22"/>
          <w:szCs w:val="22"/>
          <w:lang w:val="fr-BE"/>
        </w:rPr>
        <w:t>FE</w:t>
      </w:r>
      <w:r w:rsidR="000E606A" w:rsidRPr="00B94AE0">
        <w:rPr>
          <w:rFonts w:ascii="Palatino Linotype" w:hAnsi="Palatino Linotype" w:cstheme="minorHAnsi"/>
          <w:sz w:val="22"/>
          <w:szCs w:val="22"/>
          <w:lang w:val="fr-BE"/>
        </w:rPr>
        <w:t xml:space="preserve">DASIL </w:t>
      </w:r>
      <w:r w:rsidR="000E606A">
        <w:rPr>
          <w:rFonts w:ascii="Palatino Linotype" w:hAnsi="Palatino Linotype" w:cstheme="minorHAnsi"/>
          <w:sz w:val="22"/>
          <w:szCs w:val="22"/>
          <w:lang w:val="fr-BE"/>
        </w:rPr>
        <w:t>doit être neutre</w:t>
      </w:r>
      <w:r w:rsidRPr="00B94AE0">
        <w:rPr>
          <w:rFonts w:ascii="Palatino Linotype" w:hAnsi="Palatino Linotype" w:cstheme="minorHAnsi"/>
          <w:sz w:val="22"/>
          <w:szCs w:val="22"/>
          <w:lang w:val="fr-BE"/>
        </w:rPr>
        <w:t xml:space="preserve"> et respectueux des choix du demandeur de protection internationale, notamment quant à sa procédure de protection internat</w:t>
      </w:r>
      <w:r w:rsidR="000E606A">
        <w:rPr>
          <w:rFonts w:ascii="Palatino Linotype" w:hAnsi="Palatino Linotype" w:cstheme="minorHAnsi"/>
          <w:sz w:val="22"/>
          <w:szCs w:val="22"/>
          <w:lang w:val="fr-BE"/>
        </w:rPr>
        <w:t>ionale, des recours introduits, </w:t>
      </w:r>
      <w:r w:rsidRPr="00B94AE0">
        <w:rPr>
          <w:rFonts w:ascii="Palatino Linotype" w:hAnsi="Palatino Linotype" w:cstheme="minorHAnsi"/>
          <w:sz w:val="22"/>
          <w:szCs w:val="22"/>
          <w:lang w:val="fr-BE"/>
        </w:rPr>
        <w:t xml:space="preserve">…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Pourtant la lecture </w:t>
      </w:r>
      <w:r w:rsidR="000E606A">
        <w:rPr>
          <w:rFonts w:ascii="Palatino Linotype" w:hAnsi="Palatino Linotype" w:cstheme="minorHAnsi"/>
          <w:sz w:val="22"/>
          <w:szCs w:val="22"/>
          <w:lang w:val="fr-BE"/>
        </w:rPr>
        <w:t>de</w:t>
      </w:r>
      <w:r w:rsidRPr="00B94AE0">
        <w:rPr>
          <w:rFonts w:ascii="Palatino Linotype" w:hAnsi="Palatino Linotype" w:cstheme="minorHAnsi"/>
          <w:sz w:val="22"/>
          <w:szCs w:val="22"/>
          <w:lang w:val="fr-BE"/>
        </w:rPr>
        <w:t xml:space="preserve"> ce « guide pratique » sème une certaine confusion des rôles entre celui assigné à </w:t>
      </w:r>
      <w:r w:rsidR="000E606A" w:rsidRPr="00B94AE0">
        <w:rPr>
          <w:rFonts w:ascii="Palatino Linotype" w:hAnsi="Palatino Linotype" w:cstheme="minorHAnsi"/>
          <w:sz w:val="22"/>
          <w:szCs w:val="22"/>
          <w:lang w:val="fr-BE"/>
        </w:rPr>
        <w:t>F</w:t>
      </w:r>
      <w:r w:rsidR="000E606A">
        <w:rPr>
          <w:rFonts w:ascii="Palatino Linotype" w:hAnsi="Palatino Linotype" w:cstheme="minorHAnsi"/>
          <w:sz w:val="22"/>
          <w:szCs w:val="22"/>
          <w:lang w:val="fr-BE"/>
        </w:rPr>
        <w:t>E</w:t>
      </w:r>
      <w:r w:rsidR="000E606A" w:rsidRPr="00B94AE0">
        <w:rPr>
          <w:rFonts w:ascii="Palatino Linotype" w:hAnsi="Palatino Linotype" w:cstheme="minorHAnsi"/>
          <w:sz w:val="22"/>
          <w:szCs w:val="22"/>
          <w:lang w:val="fr-BE"/>
        </w:rPr>
        <w:t xml:space="preserve">DASIL </w:t>
      </w:r>
      <w:r w:rsidR="000E606A">
        <w:rPr>
          <w:rFonts w:ascii="Palatino Linotype" w:hAnsi="Palatino Linotype" w:cstheme="minorHAnsi"/>
          <w:sz w:val="22"/>
          <w:szCs w:val="22"/>
          <w:lang w:val="fr-BE"/>
        </w:rPr>
        <w:t>(</w:t>
      </w:r>
      <w:r w:rsidRPr="00B94AE0">
        <w:rPr>
          <w:rFonts w:ascii="Palatino Linotype" w:hAnsi="Palatino Linotype" w:cstheme="minorHAnsi"/>
          <w:sz w:val="22"/>
          <w:szCs w:val="22"/>
          <w:lang w:val="fr-BE"/>
        </w:rPr>
        <w:t xml:space="preserve">l’accueil), et celui de l’Office des Etrangers (axé sur la gestion des procédures de séjour).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C’est dans ce contex</w:t>
      </w:r>
      <w:r w:rsidR="000E606A">
        <w:rPr>
          <w:rFonts w:ascii="Palatino Linotype" w:hAnsi="Palatino Linotype" w:cstheme="minorHAnsi"/>
          <w:sz w:val="22"/>
          <w:szCs w:val="22"/>
          <w:lang w:val="fr-BE"/>
        </w:rPr>
        <w:t>te que la précédente ordonnance</w:t>
      </w:r>
      <w:r w:rsidRPr="00B94AE0">
        <w:rPr>
          <w:rFonts w:ascii="Palatino Linotype" w:hAnsi="Palatino Linotype" w:cstheme="minorHAnsi"/>
          <w:sz w:val="22"/>
          <w:szCs w:val="22"/>
          <w:lang w:val="fr-BE"/>
        </w:rPr>
        <w:t xml:space="preserve"> constatant</w:t>
      </w:r>
      <w:r w:rsidR="000E606A">
        <w:rPr>
          <w:rFonts w:ascii="Palatino Linotype" w:hAnsi="Palatino Linotype" w:cstheme="minorHAnsi"/>
          <w:sz w:val="22"/>
          <w:szCs w:val="22"/>
          <w:lang w:val="fr-BE"/>
        </w:rPr>
        <w:t>,</w:t>
      </w:r>
      <w:r w:rsidRPr="00B94AE0">
        <w:rPr>
          <w:rFonts w:ascii="Palatino Linotype" w:hAnsi="Palatino Linotype" w:cstheme="minorHAnsi"/>
          <w:sz w:val="22"/>
          <w:szCs w:val="22"/>
          <w:lang w:val="fr-BE"/>
        </w:rPr>
        <w:t xml:space="preserve"> sur base de la jurisprudence de la Cour de cassation, que FEDASIL est une institution de sécurité sociale, a demandé à ce dernier de s’expliquer sur les bases juridiques de sa priorité collaborer avec l’Office des étrangers.</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Dans le cadre des conclusions déposées, FEDASIL cite plusieurs dispositions précises de la loi du 12 janvier 2007 relatives à l’accueil, et où il est fait référence à une certaine coopération de la part de FEDASIL.</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Il faut toutefois constater qu’aucune des bases juridiques individualisées ne vise la situation administrative rencontrée actuellement par le défendeur (soit le cas du demandeur de pr</w:t>
      </w:r>
      <w:r w:rsidR="000E606A">
        <w:rPr>
          <w:rFonts w:ascii="Palatino Linotype" w:hAnsi="Palatino Linotype" w:cstheme="minorHAnsi"/>
          <w:sz w:val="22"/>
          <w:szCs w:val="22"/>
          <w:lang w:val="fr-BE"/>
        </w:rPr>
        <w:t>otection internationale « </w:t>
      </w:r>
      <w:proofErr w:type="spellStart"/>
      <w:r w:rsidR="000E606A">
        <w:rPr>
          <w:rFonts w:ascii="Palatino Linotype" w:hAnsi="Palatino Linotype" w:cstheme="minorHAnsi"/>
          <w:sz w:val="22"/>
          <w:szCs w:val="22"/>
          <w:lang w:val="fr-BE"/>
        </w:rPr>
        <w:t>dubli</w:t>
      </w:r>
      <w:r w:rsidRPr="00B94AE0">
        <w:rPr>
          <w:rFonts w:ascii="Palatino Linotype" w:hAnsi="Palatino Linotype" w:cstheme="minorHAnsi"/>
          <w:sz w:val="22"/>
          <w:szCs w:val="22"/>
          <w:lang w:val="fr-BE"/>
        </w:rPr>
        <w:t>né</w:t>
      </w:r>
      <w:proofErr w:type="spellEnd"/>
      <w:r w:rsidRPr="00B94AE0">
        <w:rPr>
          <w:rFonts w:ascii="Palatino Linotype" w:hAnsi="Palatino Linotype" w:cstheme="minorHAnsi"/>
          <w:sz w:val="22"/>
          <w:szCs w:val="22"/>
          <w:lang w:val="fr-BE"/>
        </w:rPr>
        <w:t xml:space="preserve"> »), même si </w:t>
      </w:r>
      <w:r w:rsidR="000E606A" w:rsidRPr="00B94AE0">
        <w:rPr>
          <w:rFonts w:ascii="Palatino Linotype" w:hAnsi="Palatino Linotype" w:cstheme="minorHAnsi"/>
          <w:sz w:val="22"/>
          <w:szCs w:val="22"/>
          <w:lang w:val="fr-BE"/>
        </w:rPr>
        <w:t>F</w:t>
      </w:r>
      <w:r w:rsidR="000E606A">
        <w:rPr>
          <w:rFonts w:ascii="Palatino Linotype" w:hAnsi="Palatino Linotype" w:cstheme="minorHAnsi"/>
          <w:sz w:val="22"/>
          <w:szCs w:val="22"/>
          <w:lang w:val="fr-BE"/>
        </w:rPr>
        <w:t>E</w:t>
      </w:r>
      <w:r w:rsidR="000E606A" w:rsidRPr="00B94AE0">
        <w:rPr>
          <w:rFonts w:ascii="Palatino Linotype" w:hAnsi="Palatino Linotype" w:cstheme="minorHAnsi"/>
          <w:sz w:val="22"/>
          <w:szCs w:val="22"/>
          <w:lang w:val="fr-BE"/>
        </w:rPr>
        <w:t xml:space="preserve">DASIL </w:t>
      </w:r>
      <w:r w:rsidRPr="00B94AE0">
        <w:rPr>
          <w:rFonts w:ascii="Palatino Linotype" w:hAnsi="Palatino Linotype" w:cstheme="minorHAnsi"/>
          <w:sz w:val="22"/>
          <w:szCs w:val="22"/>
          <w:lang w:val="fr-BE"/>
        </w:rPr>
        <w:t>tente de faire entrer ce cas particulier d</w:t>
      </w:r>
      <w:r w:rsidR="000E606A">
        <w:rPr>
          <w:rFonts w:ascii="Palatino Linotype" w:hAnsi="Palatino Linotype" w:cstheme="minorHAnsi"/>
          <w:sz w:val="22"/>
          <w:szCs w:val="22"/>
          <w:lang w:val="fr-BE"/>
        </w:rPr>
        <w:t>ans l’article 6 de la loi du 12/01/</w:t>
      </w:r>
      <w:r w:rsidRPr="00B94AE0">
        <w:rPr>
          <w:rFonts w:ascii="Palatino Linotype" w:hAnsi="Palatino Linotype" w:cstheme="minorHAnsi"/>
          <w:sz w:val="22"/>
          <w:szCs w:val="22"/>
          <w:lang w:val="fr-BE"/>
        </w:rPr>
        <w:t>2007, visant la procédure de retour volontaire.</w:t>
      </w:r>
    </w:p>
    <w:p w:rsidR="000E606A" w:rsidRPr="00B94AE0" w:rsidRDefault="000E606A"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FEDASIL semble voir dans ces différents exemples une es</w:t>
      </w:r>
      <w:r w:rsidR="000E606A">
        <w:rPr>
          <w:rFonts w:ascii="Palatino Linotype" w:hAnsi="Palatino Linotype" w:cstheme="minorHAnsi"/>
          <w:sz w:val="22"/>
          <w:szCs w:val="22"/>
          <w:lang w:val="fr-BE"/>
        </w:rPr>
        <w:t>pèce de révélation d’</w:t>
      </w:r>
      <w:r w:rsidRPr="00B94AE0">
        <w:rPr>
          <w:rFonts w:ascii="Palatino Linotype" w:hAnsi="Palatino Linotype" w:cstheme="minorHAnsi"/>
          <w:sz w:val="22"/>
          <w:szCs w:val="22"/>
          <w:lang w:val="fr-BE"/>
        </w:rPr>
        <w:t xml:space="preserve">un « principe général » de devoir de collaboration entre les deux institutions, et explique par ailleurs que si son personnel doit être neutre, </w:t>
      </w:r>
      <w:r w:rsidR="000E606A" w:rsidRPr="00B94AE0">
        <w:rPr>
          <w:rFonts w:ascii="Palatino Linotype" w:hAnsi="Palatino Linotype" w:cstheme="minorHAnsi"/>
          <w:sz w:val="22"/>
          <w:szCs w:val="22"/>
          <w:lang w:val="fr-BE"/>
        </w:rPr>
        <w:t>F</w:t>
      </w:r>
      <w:r w:rsidR="000E606A">
        <w:rPr>
          <w:rFonts w:ascii="Palatino Linotype" w:hAnsi="Palatino Linotype" w:cstheme="minorHAnsi"/>
          <w:sz w:val="22"/>
          <w:szCs w:val="22"/>
          <w:lang w:val="fr-BE"/>
        </w:rPr>
        <w:t>E</w:t>
      </w:r>
      <w:r w:rsidR="000E606A" w:rsidRPr="00B94AE0">
        <w:rPr>
          <w:rFonts w:ascii="Palatino Linotype" w:hAnsi="Palatino Linotype" w:cstheme="minorHAnsi"/>
          <w:sz w:val="22"/>
          <w:szCs w:val="22"/>
          <w:lang w:val="fr-BE"/>
        </w:rPr>
        <w:t xml:space="preserve">DASIL </w:t>
      </w:r>
      <w:r w:rsidRPr="00B94AE0">
        <w:rPr>
          <w:rFonts w:ascii="Palatino Linotype" w:hAnsi="Palatino Linotype" w:cstheme="minorHAnsi"/>
          <w:sz w:val="22"/>
          <w:szCs w:val="22"/>
          <w:lang w:val="fr-BE"/>
        </w:rPr>
        <w:t>pas.</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Cette nuance est incontestablement intéressante.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Il convient toutefois de constater que même là où la loi du 12 janvier 2007 prévoit une collaboration entre FEDASIL et l’Office des étrangers, celui-ci se borne un échange d’informations.</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841ED2" w:rsidP="00B94AE0">
      <w:pPr>
        <w:tabs>
          <w:tab w:val="center" w:pos="6372"/>
        </w:tabs>
        <w:suppressAutoHyphens/>
        <w:spacing w:line="240" w:lineRule="atLeast"/>
        <w:jc w:val="both"/>
        <w:rPr>
          <w:rFonts w:ascii="Palatino Linotype" w:hAnsi="Palatino Linotype" w:cstheme="minorHAnsi"/>
          <w:sz w:val="22"/>
          <w:szCs w:val="22"/>
          <w:lang w:val="fr-BE"/>
        </w:rPr>
      </w:pPr>
      <w:r>
        <w:rPr>
          <w:rFonts w:ascii="Palatino Linotype" w:hAnsi="Palatino Linotype" w:cstheme="minorHAnsi"/>
          <w:sz w:val="22"/>
          <w:szCs w:val="22"/>
          <w:lang w:val="fr-BE"/>
        </w:rPr>
        <w:t>Le T</w:t>
      </w:r>
      <w:r w:rsidR="00B94AE0" w:rsidRPr="00B94AE0">
        <w:rPr>
          <w:rFonts w:ascii="Palatino Linotype" w:hAnsi="Palatino Linotype" w:cstheme="minorHAnsi"/>
          <w:sz w:val="22"/>
          <w:szCs w:val="22"/>
          <w:lang w:val="fr-BE"/>
        </w:rPr>
        <w:t>ribunal ne lit pas dans les dispositions légales citées par FEDASIL que ce dernier a pour mission spécifique d’avoir un encadrement des demandeurs de protection internationale « dirigé » vers la collaboration de la personne hébergée à son adhésion aux attentes que l’Office des étrangers à son encontre.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841ED2" w:rsidP="00B94AE0">
      <w:pPr>
        <w:tabs>
          <w:tab w:val="center" w:pos="6372"/>
        </w:tabs>
        <w:suppressAutoHyphens/>
        <w:spacing w:line="240" w:lineRule="atLeast"/>
        <w:jc w:val="both"/>
        <w:rPr>
          <w:rFonts w:ascii="Palatino Linotype" w:hAnsi="Palatino Linotype" w:cstheme="minorHAnsi"/>
          <w:sz w:val="22"/>
          <w:szCs w:val="22"/>
          <w:lang w:val="fr-BE"/>
        </w:rPr>
      </w:pPr>
      <w:r>
        <w:rPr>
          <w:rFonts w:ascii="Palatino Linotype" w:hAnsi="Palatino Linotype" w:cstheme="minorHAnsi"/>
          <w:sz w:val="22"/>
          <w:szCs w:val="22"/>
          <w:lang w:val="fr-BE"/>
        </w:rPr>
        <w:t>Le T</w:t>
      </w:r>
      <w:r w:rsidR="00B94AE0" w:rsidRPr="00B94AE0">
        <w:rPr>
          <w:rFonts w:ascii="Palatino Linotype" w:hAnsi="Palatino Linotype" w:cstheme="minorHAnsi"/>
          <w:sz w:val="22"/>
          <w:szCs w:val="22"/>
          <w:lang w:val="fr-BE"/>
        </w:rPr>
        <w:t xml:space="preserve">ribunal continue dès lors à </w:t>
      </w:r>
      <w:r>
        <w:rPr>
          <w:rFonts w:ascii="Palatino Linotype" w:hAnsi="Palatino Linotype" w:cstheme="minorHAnsi"/>
          <w:sz w:val="22"/>
          <w:szCs w:val="22"/>
          <w:lang w:val="fr-BE"/>
        </w:rPr>
        <w:t>s’</w:t>
      </w:r>
      <w:r w:rsidR="00B94AE0" w:rsidRPr="00B94AE0">
        <w:rPr>
          <w:rFonts w:ascii="Palatino Linotype" w:hAnsi="Palatino Linotype" w:cstheme="minorHAnsi"/>
          <w:sz w:val="22"/>
          <w:szCs w:val="22"/>
          <w:lang w:val="fr-BE"/>
        </w:rPr>
        <w:t xml:space="preserve">interroger, hors le cas de la procédure de retour volontaire, au stade des apparences de droit, sur la légalité d’un accueil social de la partie défenderesse, fait d’une communication plutôt directive, d’un accueil dont le but est la collaboration transfert, sur la grande collaboration attendue du résident vis-à-vis de ce transfert,…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Que reste-t-il de la neutralité de l’accueil coulée d</w:t>
      </w:r>
      <w:r w:rsidR="00841ED2">
        <w:rPr>
          <w:rFonts w:ascii="Palatino Linotype" w:hAnsi="Palatino Linotype" w:cstheme="minorHAnsi"/>
          <w:sz w:val="22"/>
          <w:szCs w:val="22"/>
          <w:lang w:val="fr-BE"/>
        </w:rPr>
        <w:t>ans un arrêté ministériel du 19/12/</w:t>
      </w:r>
      <w:r w:rsidRPr="00B94AE0">
        <w:rPr>
          <w:rFonts w:ascii="Palatino Linotype" w:hAnsi="Palatino Linotype" w:cstheme="minorHAnsi"/>
          <w:sz w:val="22"/>
          <w:szCs w:val="22"/>
          <w:lang w:val="fr-BE"/>
        </w:rPr>
        <w:t>2013, modifié par arrêté ministériel</w:t>
      </w:r>
      <w:r w:rsidR="00841ED2">
        <w:rPr>
          <w:rFonts w:ascii="Palatino Linotype" w:hAnsi="Palatino Linotype" w:cstheme="minorHAnsi"/>
          <w:sz w:val="22"/>
          <w:szCs w:val="22"/>
          <w:lang w:val="fr-BE"/>
        </w:rPr>
        <w:t xml:space="preserve"> publié au Moniteur Belge du 18/04/</w:t>
      </w:r>
      <w:r w:rsidRPr="00B94AE0">
        <w:rPr>
          <w:rFonts w:ascii="Palatino Linotype" w:hAnsi="Palatino Linotype" w:cstheme="minorHAnsi"/>
          <w:sz w:val="22"/>
          <w:szCs w:val="22"/>
          <w:lang w:val="fr-BE"/>
        </w:rPr>
        <w:t>2014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Dans</w:t>
      </w:r>
      <w:r w:rsidR="00841ED2">
        <w:rPr>
          <w:rFonts w:ascii="Palatino Linotype" w:hAnsi="Palatino Linotype" w:cstheme="minorHAnsi"/>
          <w:sz w:val="22"/>
          <w:szCs w:val="22"/>
          <w:lang w:val="fr-BE"/>
        </w:rPr>
        <w:t xml:space="preserve"> une o</w:t>
      </w:r>
      <w:r w:rsidRPr="00B94AE0">
        <w:rPr>
          <w:rFonts w:ascii="Palatino Linotype" w:hAnsi="Palatino Linotype" w:cstheme="minorHAnsi"/>
          <w:sz w:val="22"/>
          <w:szCs w:val="22"/>
          <w:lang w:val="fr-BE"/>
        </w:rPr>
        <w:t>rdonnance prononcée par la Cour de justice de l’Union Européenne en date du 16 décembre 2021</w:t>
      </w:r>
      <w:r w:rsidRPr="00B94AE0">
        <w:rPr>
          <w:rFonts w:ascii="Palatino Linotype" w:hAnsi="Palatino Linotype" w:cstheme="minorHAnsi"/>
          <w:sz w:val="22"/>
          <w:szCs w:val="22"/>
          <w:vertAlign w:val="superscript"/>
          <w:lang w:val="fr-BE"/>
        </w:rPr>
        <w:footnoteReference w:id="15"/>
      </w:r>
      <w:r w:rsidRPr="00B94AE0">
        <w:rPr>
          <w:rFonts w:ascii="Palatino Linotype" w:hAnsi="Palatino Linotype" w:cstheme="minorHAnsi"/>
          <w:sz w:val="22"/>
          <w:szCs w:val="22"/>
          <w:lang w:val="fr-BE"/>
        </w:rPr>
        <w:t>, on peut d’ailleurs lire, dans le « </w:t>
      </w:r>
      <w:r w:rsidRPr="00B94AE0">
        <w:rPr>
          <w:rFonts w:ascii="Palatino Linotype" w:hAnsi="Palatino Linotype" w:cstheme="minorHAnsi"/>
          <w:i/>
          <w:sz w:val="22"/>
          <w:szCs w:val="22"/>
          <w:lang w:val="fr-BE"/>
        </w:rPr>
        <w:t>considérant 29</w:t>
      </w:r>
      <w:r w:rsidRPr="00B94AE0">
        <w:rPr>
          <w:rFonts w:ascii="Palatino Linotype" w:hAnsi="Palatino Linotype" w:cstheme="minorHAnsi"/>
          <w:sz w:val="22"/>
          <w:szCs w:val="22"/>
          <w:lang w:val="fr-BE"/>
        </w:rPr>
        <w:t> » :</w:t>
      </w:r>
    </w:p>
    <w:p w:rsid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La FEDASIL ne conteste d’ailleurs pas une certaine pression exercée sur les demandeurs qui sont hébergés dans les structures d’accueil spécifiques, telle que celle sise à Mouscron. Toutefois, selon elle, celle-ci ne peut être considérée comme indue et  illégale…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Confronté à cet élément dans le cadre de la réouverture des débats, FEDASIL explique que l’ordonnance a été prononcée dans le cadre d’une procédure non contradictoire, et qu’il conteste toute pression sur les demandeurs de protection internationale hébergés en place Dublin.</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Il est naturellement peu crédib</w:t>
      </w:r>
      <w:r w:rsidR="00EF2C86">
        <w:rPr>
          <w:rFonts w:ascii="Palatino Linotype" w:hAnsi="Palatino Linotype" w:cstheme="minorHAnsi"/>
          <w:sz w:val="22"/>
          <w:szCs w:val="22"/>
          <w:lang w:val="fr-BE"/>
        </w:rPr>
        <w:t>le que la Cour de justice de l’U</w:t>
      </w:r>
      <w:r w:rsidRPr="00B94AE0">
        <w:rPr>
          <w:rFonts w:ascii="Palatino Linotype" w:hAnsi="Palatino Linotype" w:cstheme="minorHAnsi"/>
          <w:sz w:val="22"/>
          <w:szCs w:val="22"/>
          <w:lang w:val="fr-BE"/>
        </w:rPr>
        <w:t xml:space="preserve">nion </w:t>
      </w:r>
      <w:r w:rsidR="00EF2C86">
        <w:rPr>
          <w:rFonts w:ascii="Palatino Linotype" w:hAnsi="Palatino Linotype" w:cstheme="minorHAnsi"/>
          <w:sz w:val="22"/>
          <w:szCs w:val="22"/>
          <w:lang w:val="fr-BE"/>
        </w:rPr>
        <w:t>E</w:t>
      </w:r>
      <w:r w:rsidRPr="00B94AE0">
        <w:rPr>
          <w:rFonts w:ascii="Palatino Linotype" w:hAnsi="Palatino Linotype" w:cstheme="minorHAnsi"/>
          <w:sz w:val="22"/>
          <w:szCs w:val="22"/>
          <w:lang w:val="fr-BE"/>
        </w:rPr>
        <w:t xml:space="preserve">uropéenne ait taxé FEDASIL de reconnaître certaines pressions exercées sur les demandeurs qui sont hébergés dans les </w:t>
      </w:r>
      <w:r w:rsidR="00EF2C86">
        <w:rPr>
          <w:rFonts w:ascii="Palatino Linotype" w:hAnsi="Palatino Linotype" w:cstheme="minorHAnsi"/>
          <w:sz w:val="22"/>
          <w:szCs w:val="22"/>
          <w:lang w:val="fr-BE"/>
        </w:rPr>
        <w:t>structures d’accueil spécifique</w:t>
      </w:r>
      <w:r w:rsidRPr="00B94AE0">
        <w:rPr>
          <w:rFonts w:ascii="Palatino Linotype" w:hAnsi="Palatino Linotype" w:cstheme="minorHAnsi"/>
          <w:sz w:val="22"/>
          <w:szCs w:val="22"/>
          <w:lang w:val="fr-BE"/>
        </w:rPr>
        <w:t xml:space="preserve"> sans élément tangible pour ce faire.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Par ailleurs, la lecture des instructions données au personnel social de FEDASIL (dont il vient d’être question) concrétise les pressions exercées, ne serait-ce même que par une communication directive dans le cadre de l’efficacité du transfert, ou encore à une aide sociale limitée un rôle fonctionnel.</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Sur base de ces éléments, au stade actuel de la procédure, le </w:t>
      </w:r>
      <w:r w:rsidR="00B0210C">
        <w:rPr>
          <w:rFonts w:ascii="Palatino Linotype" w:hAnsi="Palatino Linotype" w:cstheme="minorHAnsi"/>
          <w:sz w:val="22"/>
          <w:szCs w:val="22"/>
          <w:lang w:val="fr-BE"/>
        </w:rPr>
        <w:t>T</w:t>
      </w:r>
      <w:r w:rsidRPr="00B94AE0">
        <w:rPr>
          <w:rFonts w:ascii="Palatino Linotype" w:hAnsi="Palatino Linotype" w:cstheme="minorHAnsi"/>
          <w:sz w:val="22"/>
          <w:szCs w:val="22"/>
          <w:lang w:val="fr-BE"/>
        </w:rPr>
        <w:t>ribunal se doit de constater que l’accueil de la partie défenderesse en « place Dublin » lui est sensiblement plus défavorable que l’accueil dont elle bénéficie actuellement au centre d’accueil de la Croix-Rouge.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Pr>
          <w:rFonts w:ascii="Palatino Linotype" w:hAnsi="Palatino Linotype" w:cstheme="minorHAnsi"/>
          <w:sz w:val="22"/>
          <w:szCs w:val="22"/>
          <w:lang w:val="fr-BE"/>
        </w:rPr>
        <w:t>Par ailleurs, à l’a</w:t>
      </w:r>
      <w:r w:rsidRPr="00B94AE0">
        <w:rPr>
          <w:rFonts w:ascii="Palatino Linotype" w:hAnsi="Palatino Linotype" w:cstheme="minorHAnsi"/>
          <w:sz w:val="22"/>
          <w:szCs w:val="22"/>
          <w:lang w:val="fr-BE"/>
        </w:rPr>
        <w:t>nalyse du Tribunal, les caractéristiques de l’accompagnement social en place Dublin ne son</w:t>
      </w:r>
      <w:r w:rsidR="00EE64D7">
        <w:rPr>
          <w:rFonts w:ascii="Palatino Linotype" w:hAnsi="Palatino Linotype" w:cstheme="minorHAnsi"/>
          <w:sz w:val="22"/>
          <w:szCs w:val="22"/>
          <w:lang w:val="fr-BE"/>
        </w:rPr>
        <w:t>t pas conforment à l’A.M. du 19/12/2013</w:t>
      </w:r>
      <w:r w:rsidRPr="00B94AE0">
        <w:rPr>
          <w:rFonts w:ascii="Palatino Linotype" w:hAnsi="Palatino Linotype" w:cstheme="minorHAnsi"/>
          <w:sz w:val="22"/>
          <w:szCs w:val="22"/>
          <w:lang w:val="fr-BE"/>
        </w:rPr>
        <w:t xml:space="preserve"> et constituent donc des pressions indues.</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FEDASIL se raccroche alors à la jurisprudence considérant que les pressions ressenties par le demandeur de protection internationale sont dues à leur situation de demandeurs de protection internationale, et non à l’accueil dans les centres contenant des places Dublin.</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A l’aune de l’article 6 du code judiciaire, ce n’est pas encore parce qu’une juridiction a constaté dans le cas d’espèce qu’elle tranchait, le demandeur de protection internationale n’était pas susceptible de subir des pressions lors d’un hébergement dans une place Dublin, que cette constatation factuelle puisse être érigée en une espèce de règle générale concernant tous les demandeurs de protection internationale.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Suivre cette analyse aurait pour conséquence que les demandeurs de protection internationale pourraient faire l’objet de n’importe quel traitement, puisque de toute façon, c’est leur départ de leur pays d’origine qui est la cause exclusive de tous leurs maux.</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Le juge judiciaire a pour mission de trancher les droits subjectifs des parties en présence, au cas par cas, et ne statue pas par voie de dispositions générales, au risque de violer l’article 6 du code judiciaire précité.</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Il ne peut y avoir de place pour autre chose qu’une appréciation individualisée des parties en présence dans le dossier dont la juridiction est saisie.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Dans le présent dossier, au stade actu</w:t>
      </w:r>
      <w:r w:rsidR="00D77537">
        <w:rPr>
          <w:rFonts w:ascii="Palatino Linotype" w:hAnsi="Palatino Linotype" w:cstheme="minorHAnsi"/>
          <w:sz w:val="22"/>
          <w:szCs w:val="22"/>
          <w:lang w:val="fr-BE"/>
        </w:rPr>
        <w:t>el des apparences de droit, le T</w:t>
      </w:r>
      <w:r w:rsidRPr="00B94AE0">
        <w:rPr>
          <w:rFonts w:ascii="Palatino Linotype" w:hAnsi="Palatino Linotype" w:cstheme="minorHAnsi"/>
          <w:sz w:val="22"/>
          <w:szCs w:val="22"/>
          <w:lang w:val="fr-BE"/>
        </w:rPr>
        <w:t>ribunal n’individualise aucune donnée propre à la partie défenderesse qui l’immuniserait contre toute pression dont elle serait l’objet éventuellement un moment donné dans le cadre une place Dublin, caractérisé</w:t>
      </w:r>
      <w:r w:rsidR="00D77537">
        <w:rPr>
          <w:rFonts w:ascii="Palatino Linotype" w:hAnsi="Palatino Linotype" w:cstheme="minorHAnsi"/>
          <w:sz w:val="22"/>
          <w:szCs w:val="22"/>
          <w:lang w:val="fr-BE"/>
        </w:rPr>
        <w:t>e</w:t>
      </w:r>
      <w:r w:rsidRPr="00B94AE0">
        <w:rPr>
          <w:rFonts w:ascii="Palatino Linotype" w:hAnsi="Palatino Linotype" w:cstheme="minorHAnsi"/>
          <w:sz w:val="22"/>
          <w:szCs w:val="22"/>
          <w:lang w:val="fr-BE"/>
        </w:rPr>
        <w:t xml:space="preserve"> non seulement par la procédure des trois entretiens pré-décrite, mais également par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xml:space="preserve">« … Le caractère transitoire du séjour entraîne l’adaptation de l’accompagnement à une sorte d’assistance fonctionnelle ( l’essentiel n’est pas, par exemple, d’inscrire les enfants à l’école mais de préparer le transfert au plus vite pour qu’ils y soient inscrits dans l’Etat membre compétant »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….les buts principaux de l’accompagnement sont la collaboration à l’organisation du transfert, le suivi en cas d’introduction d’un recours, le suivi des vulnérabilités spécifiques.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 Le caract</w:t>
      </w:r>
      <w:r w:rsidR="00D77537">
        <w:rPr>
          <w:rFonts w:ascii="Palatino Linotype" w:hAnsi="Palatino Linotype" w:cstheme="minorHAnsi"/>
          <w:i/>
          <w:sz w:val="22"/>
          <w:szCs w:val="22"/>
          <w:lang w:val="fr-BE"/>
        </w:rPr>
        <w:t>ère particulier des places DUBL</w:t>
      </w:r>
      <w:r w:rsidRPr="00B94AE0">
        <w:rPr>
          <w:rFonts w:ascii="Palatino Linotype" w:hAnsi="Palatino Linotype" w:cstheme="minorHAnsi"/>
          <w:i/>
          <w:sz w:val="22"/>
          <w:szCs w:val="22"/>
          <w:lang w:val="fr-BE"/>
        </w:rPr>
        <w:t xml:space="preserve">IN implique également l’utilisation d’un certain style de communication, en l’espère plutôt directif… »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Enfin, l’accompagnement se caractérise par le rôle que joue le résident. Une grande collaboration est attendue de sa part pour que le transfert vers l’Etat membre responsable puisse s’organiser dans les meilleurs conditions…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Enfin, une dernière caractéristique de l’accueil en place Dublin est que </w:t>
      </w:r>
      <w:proofErr w:type="spellStart"/>
      <w:r w:rsidRPr="00B94AE0">
        <w:rPr>
          <w:rFonts w:ascii="Palatino Linotype" w:hAnsi="Palatino Linotype" w:cstheme="minorHAnsi"/>
          <w:sz w:val="22"/>
          <w:szCs w:val="22"/>
          <w:lang w:val="fr-BE"/>
        </w:rPr>
        <w:t>factuellement</w:t>
      </w:r>
      <w:proofErr w:type="spellEnd"/>
      <w:r w:rsidRPr="00B94AE0">
        <w:rPr>
          <w:rFonts w:ascii="Palatino Linotype" w:hAnsi="Palatino Linotype" w:cstheme="minorHAnsi"/>
          <w:sz w:val="22"/>
          <w:szCs w:val="22"/>
          <w:lang w:val="fr-BE"/>
        </w:rPr>
        <w:t>, il semble durer fort peu de temps, alors que FEDASIL insiste sur le fait que la décision contestée ne remet pas en cause la pérennité de l’accueil, et respecte dès lors l’article trois de la Convention européenne des droits de l’homme.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 A l’issue de ce deuxième entretien</w:t>
      </w:r>
      <w:r w:rsidRPr="00B94AE0">
        <w:rPr>
          <w:rFonts w:ascii="Palatino Linotype" w:hAnsi="Palatino Linotype" w:cstheme="minorHAnsi"/>
          <w:sz w:val="22"/>
          <w:szCs w:val="22"/>
          <w:vertAlign w:val="superscript"/>
        </w:rPr>
        <w:footnoteReference w:id="16"/>
      </w:r>
      <w:r w:rsidRPr="00B94AE0">
        <w:rPr>
          <w:rFonts w:ascii="Palatino Linotype" w:hAnsi="Palatino Linotype" w:cstheme="minorHAnsi"/>
          <w:sz w:val="22"/>
          <w:szCs w:val="22"/>
          <w:lang w:val="fr-BE"/>
        </w:rPr>
        <w:t xml:space="preserve">, le demandeur de protection internationale est dans l’obligation de faire un choix : </w:t>
      </w:r>
      <w:r w:rsidR="00D77537">
        <w:rPr>
          <w:rFonts w:ascii="Palatino Linotype" w:hAnsi="Palatino Linotype" w:cstheme="minorHAnsi"/>
          <w:sz w:val="22"/>
          <w:szCs w:val="22"/>
          <w:lang w:val="fr-BE"/>
        </w:rPr>
        <w:t>s</w:t>
      </w:r>
      <w:r w:rsidRPr="00B94AE0">
        <w:rPr>
          <w:rFonts w:ascii="Palatino Linotype" w:hAnsi="Palatino Linotype" w:cstheme="minorHAnsi"/>
          <w:sz w:val="22"/>
          <w:szCs w:val="22"/>
          <w:lang w:val="fr-BE"/>
        </w:rPr>
        <w:t xml:space="preserve">oit il décide de coopérer à son transfert ou à son retour, soit il est informé de ce que l’Office des Etrangers peut prendre toute initiative à son égard, au terme des 10 premiers jours d’accueil.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D’après la Directrice du centre d’accueil visité</w:t>
      </w:r>
      <w:r w:rsidRPr="00B94AE0">
        <w:rPr>
          <w:rFonts w:ascii="Palatino Linotype" w:hAnsi="Palatino Linotype" w:cstheme="minorHAnsi"/>
          <w:sz w:val="22"/>
          <w:szCs w:val="22"/>
          <w:vertAlign w:val="superscript"/>
        </w:rPr>
        <w:footnoteReference w:id="17"/>
      </w:r>
      <w:r w:rsidRPr="00B94AE0">
        <w:rPr>
          <w:rFonts w:ascii="Palatino Linotype" w:hAnsi="Palatino Linotype" w:cstheme="minorHAnsi"/>
          <w:sz w:val="22"/>
          <w:szCs w:val="22"/>
          <w:lang w:val="fr-BE"/>
        </w:rPr>
        <w:t xml:space="preserve"> en janvier 2021, les demandeurs de protection internationale</w:t>
      </w:r>
      <w:r w:rsidR="00D77537">
        <w:rPr>
          <w:rFonts w:ascii="Palatino Linotype" w:hAnsi="Palatino Linotype" w:cstheme="minorHAnsi"/>
          <w:sz w:val="22"/>
          <w:szCs w:val="22"/>
          <w:lang w:val="fr-BE"/>
        </w:rPr>
        <w:t>,</w:t>
      </w:r>
      <w:r w:rsidRPr="00B94AE0">
        <w:rPr>
          <w:rFonts w:ascii="Palatino Linotype" w:hAnsi="Palatino Linotype" w:cstheme="minorHAnsi"/>
          <w:sz w:val="22"/>
          <w:szCs w:val="22"/>
          <w:lang w:val="fr-BE"/>
        </w:rPr>
        <w:t xml:space="preserve"> qui décident de ne pas coopérer volontairement au transfert ou au retour, quittent la structure d’accueil très rapidement dès que le délai de 10 jours est écoulé.</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L’arrêt de la Cour du travail de Liège, division Namur, du 25</w:t>
      </w:r>
      <w:r w:rsidR="00D77537">
        <w:rPr>
          <w:rFonts w:ascii="Palatino Linotype" w:hAnsi="Palatino Linotype" w:cstheme="minorHAnsi"/>
          <w:sz w:val="22"/>
          <w:szCs w:val="22"/>
          <w:lang w:val="fr-BE"/>
        </w:rPr>
        <w:t>/02/</w:t>
      </w:r>
      <w:r w:rsidRPr="00B94AE0">
        <w:rPr>
          <w:rFonts w:ascii="Palatino Linotype" w:hAnsi="Palatino Linotype" w:cstheme="minorHAnsi"/>
          <w:sz w:val="22"/>
          <w:szCs w:val="22"/>
          <w:lang w:val="fr-BE"/>
        </w:rPr>
        <w:t>2021</w:t>
      </w:r>
      <w:r w:rsidRPr="00B94AE0">
        <w:rPr>
          <w:rFonts w:ascii="Palatino Linotype" w:hAnsi="Palatino Linotype" w:cstheme="minorHAnsi"/>
          <w:sz w:val="22"/>
          <w:szCs w:val="22"/>
          <w:vertAlign w:val="superscript"/>
        </w:rPr>
        <w:footnoteReference w:id="18"/>
      </w:r>
      <w:r w:rsidRPr="00B94AE0">
        <w:rPr>
          <w:rFonts w:ascii="Palatino Linotype" w:hAnsi="Palatino Linotype" w:cstheme="minorHAnsi"/>
          <w:sz w:val="22"/>
          <w:szCs w:val="22"/>
          <w:lang w:val="fr-BE"/>
        </w:rPr>
        <w:t xml:space="preserve"> confir</w:t>
      </w:r>
      <w:r>
        <w:rPr>
          <w:rFonts w:ascii="Palatino Linotype" w:hAnsi="Palatino Linotype" w:cstheme="minorHAnsi"/>
          <w:sz w:val="22"/>
          <w:szCs w:val="22"/>
          <w:lang w:val="fr-BE"/>
        </w:rPr>
        <w:t xml:space="preserve">me d’ailleurs qu’à cet égard, </w:t>
      </w:r>
      <w:r w:rsidR="00D77537">
        <w:rPr>
          <w:rFonts w:ascii="Palatino Linotype" w:hAnsi="Palatino Linotype" w:cstheme="minorHAnsi"/>
          <w:sz w:val="22"/>
          <w:szCs w:val="22"/>
          <w:lang w:val="fr-BE"/>
        </w:rPr>
        <w:t>FE</w:t>
      </w:r>
      <w:r w:rsidR="00D77537" w:rsidRPr="00B94AE0">
        <w:rPr>
          <w:rFonts w:ascii="Palatino Linotype" w:hAnsi="Palatino Linotype" w:cstheme="minorHAnsi"/>
          <w:sz w:val="22"/>
          <w:szCs w:val="22"/>
          <w:lang w:val="fr-BE"/>
        </w:rPr>
        <w:t xml:space="preserve">DASIL </w:t>
      </w:r>
      <w:r w:rsidRPr="00B94AE0">
        <w:rPr>
          <w:rFonts w:ascii="Palatino Linotype" w:hAnsi="Palatino Linotype" w:cstheme="minorHAnsi"/>
          <w:sz w:val="22"/>
          <w:szCs w:val="22"/>
          <w:lang w:val="fr-BE"/>
        </w:rPr>
        <w:t>ne dépose aucune statistique contraire à cette information.</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Tel est toujours </w:t>
      </w:r>
      <w:r w:rsidR="00D77537">
        <w:rPr>
          <w:rFonts w:ascii="Palatino Linotype" w:hAnsi="Palatino Linotype" w:cstheme="minorHAnsi"/>
          <w:sz w:val="22"/>
          <w:szCs w:val="22"/>
          <w:lang w:val="fr-BE"/>
        </w:rPr>
        <w:t>le cas plus d’un an plus tard (</w:t>
      </w:r>
      <w:r w:rsidRPr="00B94AE0">
        <w:rPr>
          <w:rFonts w:ascii="Palatino Linotype" w:hAnsi="Palatino Linotype" w:cstheme="minorHAnsi"/>
          <w:sz w:val="22"/>
          <w:szCs w:val="22"/>
          <w:lang w:val="fr-BE"/>
        </w:rPr>
        <w:t>alors que certaines procédures de tierce opposition ont été plaidées entre temps).</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Ainsi, s’il n’est pas faux d’affirmer que FEDASIL offre l’accueil de façon illimitée dans le temps aux personnes qui accèdent à une « place retour », qu’elles collaborent ou pas avec l’Office des Etrangers, il ressort des explications données que ‘de fait’, les personnes choisissent de façon assez systématique la garantie de la liberté, à l’aide sociale en nature « garantie</w:t>
      </w:r>
      <w:r w:rsidRPr="00B94AE0">
        <w:rPr>
          <w:rFonts w:ascii="Palatino Linotype" w:hAnsi="Palatino Linotype" w:cstheme="minorHAnsi"/>
          <w:sz w:val="22"/>
          <w:szCs w:val="22"/>
          <w:vertAlign w:val="superscript"/>
        </w:rPr>
        <w:footnoteReference w:id="19"/>
      </w:r>
      <w:r w:rsidRPr="00B94AE0">
        <w:rPr>
          <w:rFonts w:ascii="Palatino Linotype" w:hAnsi="Palatino Linotype" w:cstheme="minorHAnsi"/>
          <w:sz w:val="22"/>
          <w:szCs w:val="22"/>
          <w:lang w:val="fr-BE"/>
        </w:rPr>
        <w:t> » dans le centre d’accueil.</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Rappelons que l’analyse de l’</w:t>
      </w:r>
      <w:r w:rsidR="00D77537">
        <w:rPr>
          <w:rFonts w:ascii="Palatino Linotype" w:hAnsi="Palatino Linotype" w:cstheme="minorHAnsi"/>
          <w:sz w:val="22"/>
          <w:szCs w:val="22"/>
          <w:lang w:val="fr-BE"/>
        </w:rPr>
        <w:t>o</w:t>
      </w:r>
      <w:r w:rsidRPr="00B94AE0">
        <w:rPr>
          <w:rFonts w:ascii="Palatino Linotype" w:hAnsi="Palatino Linotype" w:cstheme="minorHAnsi"/>
          <w:sz w:val="22"/>
          <w:szCs w:val="22"/>
          <w:lang w:val="fr-BE"/>
        </w:rPr>
        <w:t>rdonnance de la CJUE du 26</w:t>
      </w:r>
      <w:r w:rsidR="00D77537">
        <w:rPr>
          <w:rFonts w:ascii="Palatino Linotype" w:hAnsi="Palatino Linotype" w:cstheme="minorHAnsi"/>
          <w:sz w:val="22"/>
          <w:szCs w:val="22"/>
          <w:lang w:val="fr-BE"/>
        </w:rPr>
        <w:t>/</w:t>
      </w:r>
      <w:r w:rsidRPr="00B94AE0">
        <w:rPr>
          <w:rFonts w:ascii="Palatino Linotype" w:hAnsi="Palatino Linotype" w:cstheme="minorHAnsi"/>
          <w:sz w:val="22"/>
          <w:szCs w:val="22"/>
          <w:lang w:val="fr-BE"/>
        </w:rPr>
        <w:t>03</w:t>
      </w:r>
      <w:r w:rsidR="00D77537">
        <w:rPr>
          <w:rFonts w:ascii="Palatino Linotype" w:hAnsi="Palatino Linotype" w:cstheme="minorHAnsi"/>
          <w:sz w:val="22"/>
          <w:szCs w:val="22"/>
          <w:lang w:val="fr-BE"/>
        </w:rPr>
        <w:t>/</w:t>
      </w:r>
      <w:r w:rsidRPr="00B94AE0">
        <w:rPr>
          <w:rFonts w:ascii="Palatino Linotype" w:hAnsi="Palatino Linotype" w:cstheme="minorHAnsi"/>
          <w:sz w:val="22"/>
          <w:szCs w:val="22"/>
          <w:lang w:val="fr-BE"/>
        </w:rPr>
        <w:t xml:space="preserve">2021, se fonde sur la donnée que la problématique de fond touche à un simple « changement de logement » (cf. considérant n°43), pas une fragilisation sensible de l’accueil.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D77537"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Il ressort clairement que l’application de la circulaire FEDASIL</w:t>
      </w:r>
      <w:r w:rsidRPr="00B94AE0">
        <w:rPr>
          <w:rFonts w:ascii="Palatino Linotype" w:hAnsi="Palatino Linotype" w:cstheme="minorHAnsi"/>
          <w:sz w:val="22"/>
          <w:szCs w:val="22"/>
          <w:vertAlign w:val="superscript"/>
        </w:rPr>
        <w:footnoteReference w:id="20"/>
      </w:r>
      <w:r w:rsidRPr="00B94AE0">
        <w:rPr>
          <w:rFonts w:ascii="Palatino Linotype" w:hAnsi="Palatino Linotype" w:cstheme="minorHAnsi"/>
          <w:sz w:val="22"/>
          <w:szCs w:val="22"/>
          <w:lang w:val="fr-BE"/>
        </w:rPr>
        <w:t xml:space="preserve"> relative à l’appl</w:t>
      </w:r>
      <w:r w:rsidR="00D77537">
        <w:rPr>
          <w:rFonts w:ascii="Palatino Linotype" w:hAnsi="Palatino Linotype" w:cstheme="minorHAnsi"/>
          <w:sz w:val="22"/>
          <w:szCs w:val="22"/>
          <w:lang w:val="fr-BE"/>
        </w:rPr>
        <w:t>ication du règlement DUBLIN III</w:t>
      </w:r>
      <w:r w:rsidRPr="00B94AE0">
        <w:rPr>
          <w:rFonts w:ascii="Palatino Linotype" w:hAnsi="Palatino Linotype" w:cstheme="minorHAnsi"/>
          <w:sz w:val="22"/>
          <w:szCs w:val="22"/>
          <w:lang w:val="fr-BE"/>
        </w:rPr>
        <w:t xml:space="preserve"> a pour conséquence de placer les demandeurs de protection internationale devant le choix de la liberté, ou de l’hébergement.</w:t>
      </w:r>
    </w:p>
    <w:p w:rsidR="00D77537" w:rsidRDefault="00D77537"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Cette pression est d’autant</w:t>
      </w:r>
      <w:r>
        <w:rPr>
          <w:rFonts w:ascii="Palatino Linotype" w:hAnsi="Palatino Linotype" w:cstheme="minorHAnsi"/>
          <w:sz w:val="22"/>
          <w:szCs w:val="22"/>
          <w:lang w:val="fr-BE"/>
        </w:rPr>
        <w:t xml:space="preserve"> plus grande qu’il semble que </w:t>
      </w:r>
      <w:r w:rsidR="00D77537">
        <w:rPr>
          <w:rFonts w:ascii="Palatino Linotype" w:hAnsi="Palatino Linotype" w:cstheme="minorHAnsi"/>
          <w:sz w:val="22"/>
          <w:szCs w:val="22"/>
          <w:lang w:val="fr-BE"/>
        </w:rPr>
        <w:t>FE</w:t>
      </w:r>
      <w:r w:rsidR="00D77537" w:rsidRPr="00B94AE0">
        <w:rPr>
          <w:rFonts w:ascii="Palatino Linotype" w:hAnsi="Palatino Linotype" w:cstheme="minorHAnsi"/>
          <w:sz w:val="22"/>
          <w:szCs w:val="22"/>
          <w:lang w:val="fr-BE"/>
        </w:rPr>
        <w:t xml:space="preserve">DASIL </w:t>
      </w:r>
      <w:r w:rsidRPr="00B94AE0">
        <w:rPr>
          <w:rFonts w:ascii="Palatino Linotype" w:hAnsi="Palatino Linotype" w:cstheme="minorHAnsi"/>
          <w:sz w:val="22"/>
          <w:szCs w:val="22"/>
          <w:lang w:val="fr-BE"/>
        </w:rPr>
        <w:t>ne semble pas respecter  systématiquement sa propre circulaire (ex. : pas de présence effective systématique d’un travailleur social, traducteur disponible par téléphone, l’information donnée est « orientée » sur les objectifs propres à l’Office des Etrangers,…)</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Il y a là, à l’appréciation du Tribunal, une réelle pression psychologique : choisir entre des droits élémentaires.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Au surplus, le non-respect éventuel de la notion de protection du domicile « en place retour » est tout à fait susceptible de justifier, elle aussi, voir à elle seule, une pression psychologique indue, accrue et injustifiée ( la crainte de ne plus pouvoir se trouver dans un lieu de vie « protégé », et ce tous les jours, à toutes les heures).</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Ainsi, dans un avis rendu au Parlement en avril 2021 relativement à un projet de loi relatif aux visites domiciliaires</w:t>
      </w:r>
      <w:r w:rsidRPr="00B94AE0">
        <w:rPr>
          <w:rFonts w:ascii="Palatino Linotype" w:hAnsi="Palatino Linotype" w:cstheme="minorHAnsi"/>
          <w:sz w:val="22"/>
          <w:szCs w:val="22"/>
          <w:vertAlign w:val="superscript"/>
        </w:rPr>
        <w:footnoteReference w:id="21"/>
      </w:r>
      <w:r w:rsidRPr="00B94AE0">
        <w:rPr>
          <w:rFonts w:ascii="Palatino Linotype" w:hAnsi="Palatino Linotype" w:cstheme="minorHAnsi"/>
          <w:sz w:val="22"/>
          <w:szCs w:val="22"/>
          <w:lang w:val="fr-BE"/>
        </w:rPr>
        <w:t>, MYRIA ( le centre fédéral des migrations), pointe notamment :</w:t>
      </w:r>
    </w:p>
    <w:p w:rsid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xml:space="preserve">« Des garanties solides contre les abus sont d’autant plus nécessaires que les étrangers en séjour irrégulier constituent un groupe particulièrement vulnérable, confronté au pouvoir de la police. Plusieurs sources fiables et des affaires judiciaires récentes ont révélé de graves abus de policiers à l’encontre d’étrangers en séjour précaire. Dans l’affaire « </w:t>
      </w:r>
      <w:proofErr w:type="spellStart"/>
      <w:r w:rsidRPr="00B94AE0">
        <w:rPr>
          <w:rFonts w:ascii="Palatino Linotype" w:hAnsi="Palatino Linotype" w:cstheme="minorHAnsi"/>
          <w:i/>
          <w:sz w:val="22"/>
          <w:szCs w:val="22"/>
          <w:lang w:val="fr-BE"/>
        </w:rPr>
        <w:t>Mega</w:t>
      </w:r>
      <w:proofErr w:type="spellEnd"/>
      <w:r w:rsidRPr="00B94AE0">
        <w:rPr>
          <w:rFonts w:ascii="Palatino Linotype" w:hAnsi="Palatino Linotype" w:cstheme="minorHAnsi"/>
          <w:i/>
          <w:sz w:val="22"/>
          <w:szCs w:val="22"/>
          <w:lang w:val="fr-BE"/>
        </w:rPr>
        <w:t xml:space="preserve"> Toby »,le tribunal correctionnel d’Anvers a condamné en juin 2020 des policiers pour plusieurs infractions commises principalement à l’encontre d’étrangers en séjour précaire ou irrégulier, notamment des vols et violation de domicile. Selon le tribunal, « en visant des personnes en situation précaire », ces policiers « ont manifestement abusé du pouvoir que la société leur a octroyé et ils espéraient assurer l’impunité de leurs faits »  . A Bruxelles, Charleroi et Anvers, des pratiques d’arrestations arbitraires d’étrangers en séjour irrégulier pour les éloigner du lieu d’interpellation, parfois accompagnées de mauvais traitements ou d’humiliations, ont été décrites comme habituelles par des policiers.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Ceci mérite assurément réflexion.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Cette circonstance est d’autant plus importante qu’elle s’applique à des personnes qui ont bien souvent subi la privation de leurs droits essentiels dans le pays d’origine.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Si </w:t>
      </w:r>
      <w:r w:rsidR="007F236F" w:rsidRPr="00B94AE0">
        <w:rPr>
          <w:rFonts w:ascii="Palatino Linotype" w:hAnsi="Palatino Linotype" w:cstheme="minorHAnsi"/>
          <w:sz w:val="22"/>
          <w:szCs w:val="22"/>
          <w:lang w:val="fr-BE"/>
        </w:rPr>
        <w:t>F</w:t>
      </w:r>
      <w:r w:rsidR="007F236F">
        <w:rPr>
          <w:rFonts w:ascii="Palatino Linotype" w:hAnsi="Palatino Linotype" w:cstheme="minorHAnsi"/>
          <w:sz w:val="22"/>
          <w:szCs w:val="22"/>
          <w:lang w:val="fr-BE"/>
        </w:rPr>
        <w:t>E</w:t>
      </w:r>
      <w:r w:rsidR="007F236F" w:rsidRPr="00B94AE0">
        <w:rPr>
          <w:rFonts w:ascii="Palatino Linotype" w:hAnsi="Palatino Linotype" w:cstheme="minorHAnsi"/>
          <w:sz w:val="22"/>
          <w:szCs w:val="22"/>
          <w:lang w:val="fr-BE"/>
        </w:rPr>
        <w:t xml:space="preserve">DASIL </w:t>
      </w:r>
      <w:r w:rsidRPr="00B94AE0">
        <w:rPr>
          <w:rFonts w:ascii="Palatino Linotype" w:hAnsi="Palatino Linotype" w:cstheme="minorHAnsi"/>
          <w:sz w:val="22"/>
          <w:szCs w:val="22"/>
          <w:lang w:val="fr-BE"/>
        </w:rPr>
        <w:t xml:space="preserve">affirme respecter l’inviolabilité du domicile en place Dublin, le Tribunal constate que </w:t>
      </w:r>
      <w:r w:rsidR="007F236F" w:rsidRPr="00B94AE0">
        <w:rPr>
          <w:rFonts w:ascii="Palatino Linotype" w:hAnsi="Palatino Linotype" w:cstheme="minorHAnsi"/>
          <w:sz w:val="22"/>
          <w:szCs w:val="22"/>
          <w:lang w:val="fr-BE"/>
        </w:rPr>
        <w:t>F</w:t>
      </w:r>
      <w:r w:rsidR="007F236F">
        <w:rPr>
          <w:rFonts w:ascii="Palatino Linotype" w:hAnsi="Palatino Linotype" w:cstheme="minorHAnsi"/>
          <w:sz w:val="22"/>
          <w:szCs w:val="22"/>
          <w:lang w:val="fr-BE"/>
        </w:rPr>
        <w:t>E</w:t>
      </w:r>
      <w:r w:rsidR="007F236F" w:rsidRPr="00B94AE0">
        <w:rPr>
          <w:rFonts w:ascii="Palatino Linotype" w:hAnsi="Palatino Linotype" w:cstheme="minorHAnsi"/>
          <w:sz w:val="22"/>
          <w:szCs w:val="22"/>
          <w:lang w:val="fr-BE"/>
        </w:rPr>
        <w:t xml:space="preserve">DASIL </w:t>
      </w:r>
      <w:r w:rsidRPr="00B94AE0">
        <w:rPr>
          <w:rFonts w:ascii="Palatino Linotype" w:hAnsi="Palatino Linotype" w:cstheme="minorHAnsi"/>
          <w:sz w:val="22"/>
          <w:szCs w:val="22"/>
          <w:lang w:val="fr-BE"/>
        </w:rPr>
        <w:t xml:space="preserve">refuse de produire des accords de collaboration avec la police qui sont clairement </w:t>
      </w:r>
      <w:r w:rsidR="007F236F">
        <w:rPr>
          <w:rFonts w:ascii="Palatino Linotype" w:hAnsi="Palatino Linotype" w:cstheme="minorHAnsi"/>
          <w:sz w:val="22"/>
          <w:szCs w:val="22"/>
          <w:lang w:val="fr-BE"/>
        </w:rPr>
        <w:t>prévus dans la circulaire du 22/09/</w:t>
      </w:r>
      <w:r w:rsidRPr="00B94AE0">
        <w:rPr>
          <w:rFonts w:ascii="Palatino Linotype" w:hAnsi="Palatino Linotype" w:cstheme="minorHAnsi"/>
          <w:sz w:val="22"/>
          <w:szCs w:val="22"/>
          <w:lang w:val="fr-BE"/>
        </w:rPr>
        <w:t>2020.</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Le Tribunal reste étonné qu’il ne soit apparemment pas souhaitable de rendre les éléments en cause contradictoires. </w:t>
      </w:r>
    </w:p>
    <w:p w:rsidR="00E45C22" w:rsidRDefault="00E45C22" w:rsidP="00B94AE0">
      <w:pPr>
        <w:tabs>
          <w:tab w:val="center" w:pos="6372"/>
        </w:tabs>
        <w:suppressAutoHyphens/>
        <w:spacing w:line="240" w:lineRule="atLeast"/>
        <w:jc w:val="both"/>
        <w:rPr>
          <w:rFonts w:ascii="Palatino Linotype" w:hAnsi="Palatino Linotype" w:cstheme="minorHAnsi"/>
          <w:sz w:val="22"/>
          <w:szCs w:val="22"/>
          <w:lang w:val="fr-BE"/>
        </w:rPr>
      </w:pPr>
    </w:p>
    <w:p w:rsidR="00E45C22" w:rsidRDefault="00E45C22"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Le Tribunal constate donc que le demandeur de protection internationale est placé face à un choix qui le confronte à hiérarchiser des droits fondamentaux protégés tous les deux par la Convention</w:t>
      </w:r>
      <w:r w:rsidR="007F236F">
        <w:rPr>
          <w:rFonts w:ascii="Palatino Linotype" w:hAnsi="Palatino Linotype" w:cstheme="minorHAnsi"/>
          <w:sz w:val="22"/>
          <w:szCs w:val="22"/>
          <w:lang w:val="fr-BE"/>
        </w:rPr>
        <w:t xml:space="preserve"> Européenne des Droits de l’Homme : le droit à la liberté (</w:t>
      </w:r>
      <w:r w:rsidRPr="00B94AE0">
        <w:rPr>
          <w:rFonts w:ascii="Palatino Linotype" w:hAnsi="Palatino Linotype" w:cstheme="minorHAnsi"/>
          <w:sz w:val="22"/>
          <w:szCs w:val="22"/>
          <w:lang w:val="fr-BE"/>
        </w:rPr>
        <w:t xml:space="preserve">article 5 CEDH), et </w:t>
      </w:r>
      <w:r w:rsidR="007F236F">
        <w:rPr>
          <w:rFonts w:ascii="Palatino Linotype" w:hAnsi="Palatino Linotype" w:cstheme="minorHAnsi"/>
          <w:sz w:val="22"/>
          <w:szCs w:val="22"/>
          <w:lang w:val="fr-BE"/>
        </w:rPr>
        <w:t>le droit à la dignité humaine (</w:t>
      </w:r>
      <w:r w:rsidRPr="00B94AE0">
        <w:rPr>
          <w:rFonts w:ascii="Palatino Linotype" w:hAnsi="Palatino Linotype" w:cstheme="minorHAnsi"/>
          <w:sz w:val="22"/>
          <w:szCs w:val="22"/>
          <w:lang w:val="fr-BE"/>
        </w:rPr>
        <w:t xml:space="preserve">en ce que celle-ci s’oppose aux traitements inhumains et dégradants. Soit l’article 3 de la CEDH).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Comme évoqué précédemment, il n’existe pas de certitude raisonnable sur le fait que le demandeur de protection internationale </w:t>
      </w:r>
      <w:proofErr w:type="spellStart"/>
      <w:r w:rsidRPr="00B94AE0">
        <w:rPr>
          <w:rFonts w:ascii="Palatino Linotype" w:hAnsi="Palatino Linotype" w:cstheme="minorHAnsi"/>
          <w:sz w:val="22"/>
          <w:szCs w:val="22"/>
          <w:lang w:val="fr-BE"/>
        </w:rPr>
        <w:t>dubliné</w:t>
      </w:r>
      <w:proofErr w:type="spellEnd"/>
      <w:r w:rsidRPr="00B94AE0">
        <w:rPr>
          <w:rFonts w:ascii="Palatino Linotype" w:hAnsi="Palatino Linotype" w:cstheme="minorHAnsi"/>
          <w:sz w:val="22"/>
          <w:szCs w:val="22"/>
          <w:lang w:val="fr-BE"/>
        </w:rPr>
        <w:t xml:space="preserve"> soit informé sur la « protection » dont il doit b</w:t>
      </w:r>
      <w:r w:rsidR="007F236F">
        <w:rPr>
          <w:rFonts w:ascii="Palatino Linotype" w:hAnsi="Palatino Linotype" w:cstheme="minorHAnsi"/>
          <w:sz w:val="22"/>
          <w:szCs w:val="22"/>
          <w:lang w:val="fr-BE"/>
        </w:rPr>
        <w:t>énéficier en centre d’accueil (</w:t>
      </w:r>
      <w:r w:rsidRPr="00B94AE0">
        <w:rPr>
          <w:rFonts w:ascii="Palatino Linotype" w:hAnsi="Palatino Linotype" w:cstheme="minorHAnsi"/>
          <w:sz w:val="22"/>
          <w:szCs w:val="22"/>
          <w:lang w:val="fr-BE"/>
        </w:rPr>
        <w:t>et même en place retour) face aux initiatives de l’O.E.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Rappelons que </w:t>
      </w:r>
      <w:r w:rsidR="007F236F" w:rsidRPr="00B94AE0">
        <w:rPr>
          <w:rFonts w:ascii="Palatino Linotype" w:hAnsi="Palatino Linotype" w:cstheme="minorHAnsi"/>
          <w:sz w:val="22"/>
          <w:szCs w:val="22"/>
          <w:lang w:val="fr-BE"/>
        </w:rPr>
        <w:t>F</w:t>
      </w:r>
      <w:r w:rsidR="007F236F">
        <w:rPr>
          <w:rFonts w:ascii="Palatino Linotype" w:hAnsi="Palatino Linotype" w:cstheme="minorHAnsi"/>
          <w:sz w:val="22"/>
          <w:szCs w:val="22"/>
          <w:lang w:val="fr-BE"/>
        </w:rPr>
        <w:t>E</w:t>
      </w:r>
      <w:r w:rsidR="007F236F" w:rsidRPr="00B94AE0">
        <w:rPr>
          <w:rFonts w:ascii="Palatino Linotype" w:hAnsi="Palatino Linotype" w:cstheme="minorHAnsi"/>
          <w:sz w:val="22"/>
          <w:szCs w:val="22"/>
          <w:lang w:val="fr-BE"/>
        </w:rPr>
        <w:t xml:space="preserve">DASIL </w:t>
      </w:r>
      <w:r w:rsidRPr="00B94AE0">
        <w:rPr>
          <w:rFonts w:ascii="Palatino Linotype" w:hAnsi="Palatino Linotype" w:cstheme="minorHAnsi"/>
          <w:sz w:val="22"/>
          <w:szCs w:val="22"/>
          <w:lang w:val="fr-BE"/>
        </w:rPr>
        <w:t>est une instituti</w:t>
      </w:r>
      <w:r w:rsidR="007F236F">
        <w:rPr>
          <w:rFonts w:ascii="Palatino Linotype" w:hAnsi="Palatino Linotype" w:cstheme="minorHAnsi"/>
          <w:sz w:val="22"/>
          <w:szCs w:val="22"/>
          <w:lang w:val="fr-BE"/>
        </w:rPr>
        <w:t xml:space="preserve">on de sécurité sociale au sens </w:t>
      </w:r>
      <w:r w:rsidRPr="00B94AE0">
        <w:rPr>
          <w:rFonts w:ascii="Palatino Linotype" w:hAnsi="Palatino Linotype" w:cstheme="minorHAnsi"/>
          <w:sz w:val="22"/>
          <w:szCs w:val="22"/>
          <w:lang w:val="fr-BE"/>
        </w:rPr>
        <w:t>fonctionnel, comme l’a déjà précisé la Cour de Cassation.</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Dans ce contexte, FEDASIL a l’obligation d’informer les personnes h</w:t>
      </w:r>
      <w:r w:rsidR="007F236F">
        <w:rPr>
          <w:rFonts w:ascii="Palatino Linotype" w:hAnsi="Palatino Linotype" w:cstheme="minorHAnsi"/>
          <w:sz w:val="22"/>
          <w:szCs w:val="22"/>
          <w:lang w:val="fr-BE"/>
        </w:rPr>
        <w:t>ébergées de tous leurs droits (</w:t>
      </w:r>
      <w:r w:rsidRPr="00B94AE0">
        <w:rPr>
          <w:rFonts w:ascii="Palatino Linotype" w:hAnsi="Palatino Linotype" w:cstheme="minorHAnsi"/>
          <w:sz w:val="22"/>
          <w:szCs w:val="22"/>
          <w:lang w:val="fr-BE"/>
        </w:rPr>
        <w:t>application de la Charte de l’assuré social).</w:t>
      </w:r>
    </w:p>
    <w:p w:rsidR="007F236F" w:rsidRPr="00B94AE0" w:rsidRDefault="007F236F"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Ainsi, et à titre d’illust</w:t>
      </w:r>
      <w:r w:rsidR="007F236F">
        <w:rPr>
          <w:rFonts w:ascii="Palatino Linotype" w:hAnsi="Palatino Linotype" w:cstheme="minorHAnsi"/>
          <w:sz w:val="22"/>
          <w:szCs w:val="22"/>
          <w:lang w:val="fr-BE"/>
        </w:rPr>
        <w:t>ration,  Monsieur Karel BAECK (</w:t>
      </w:r>
      <w:r w:rsidRPr="00B94AE0">
        <w:rPr>
          <w:rFonts w:ascii="Palatino Linotype" w:hAnsi="Palatino Linotype" w:cstheme="minorHAnsi"/>
          <w:sz w:val="22"/>
          <w:szCs w:val="22"/>
          <w:lang w:val="fr-BE"/>
        </w:rPr>
        <w:t>alors Président du Collège des Institutions Publiques de Sécurité Sociale, et Administrateur Général de l’</w:t>
      </w:r>
      <w:proofErr w:type="spellStart"/>
      <w:r w:rsidRPr="00B94AE0">
        <w:rPr>
          <w:rFonts w:ascii="Palatino Linotype" w:hAnsi="Palatino Linotype" w:cstheme="minorHAnsi"/>
          <w:sz w:val="22"/>
          <w:szCs w:val="22"/>
          <w:lang w:val="fr-BE"/>
        </w:rPr>
        <w:t>Onem</w:t>
      </w:r>
      <w:proofErr w:type="spellEnd"/>
      <w:r w:rsidRPr="00B94AE0">
        <w:rPr>
          <w:rFonts w:ascii="Palatino Linotype" w:hAnsi="Palatino Linotype" w:cstheme="minorHAnsi"/>
          <w:sz w:val="22"/>
          <w:szCs w:val="22"/>
          <w:lang w:val="fr-BE"/>
        </w:rPr>
        <w:t xml:space="preserve">), faisait part, dans un entretien consacré à l’application de la Charte de l’Assuré Social </w:t>
      </w:r>
      <w:r w:rsidRPr="00B94AE0">
        <w:rPr>
          <w:rFonts w:ascii="Palatino Linotype" w:hAnsi="Palatino Linotype" w:cstheme="minorHAnsi"/>
          <w:sz w:val="22"/>
          <w:szCs w:val="22"/>
          <w:vertAlign w:val="superscript"/>
        </w:rPr>
        <w:footnoteReference w:id="22"/>
      </w:r>
      <w:r w:rsidRPr="00B94AE0">
        <w:rPr>
          <w:rFonts w:ascii="Palatino Linotype" w:hAnsi="Palatino Linotype" w:cstheme="minorHAnsi"/>
          <w:sz w:val="22"/>
          <w:szCs w:val="22"/>
          <w:lang w:val="fr-BE"/>
        </w:rPr>
        <w:t> que :</w:t>
      </w:r>
    </w:p>
    <w:p w:rsidR="00B94AE0" w:rsidRPr="00B94AE0" w:rsidRDefault="00B94AE0" w:rsidP="00B94AE0">
      <w:pPr>
        <w:tabs>
          <w:tab w:val="center" w:pos="6372"/>
        </w:tabs>
        <w:suppressAutoHyphens/>
        <w:spacing w:line="240" w:lineRule="atLeast"/>
        <w:jc w:val="both"/>
        <w:rPr>
          <w:rFonts w:ascii="Palatino Linotype" w:hAnsi="Palatino Linotype" w:cstheme="minorHAnsi"/>
          <w:i/>
          <w:sz w:val="22"/>
          <w:szCs w:val="22"/>
          <w:lang w:val="fr-BE"/>
        </w:rPr>
      </w:pPr>
      <w:r w:rsidRPr="00B94AE0">
        <w:rPr>
          <w:rFonts w:ascii="Palatino Linotype" w:hAnsi="Palatino Linotype" w:cstheme="minorHAnsi"/>
          <w:i/>
          <w:sz w:val="22"/>
          <w:szCs w:val="22"/>
          <w:lang w:val="fr-BE"/>
        </w:rPr>
        <w:t xml:space="preserve">«  Epuiser les droits, raccourcir les délais et bien informer les assurés sociaux… Mais surtout, il faut créer les conditions pour que conjointement, administrations et assurés sociaux puissent en arriver à une attribution maximale du droit… »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7F236F" w:rsidP="00B94AE0">
      <w:pPr>
        <w:tabs>
          <w:tab w:val="center" w:pos="6372"/>
        </w:tabs>
        <w:suppressAutoHyphens/>
        <w:spacing w:line="240" w:lineRule="atLeast"/>
        <w:jc w:val="both"/>
        <w:rPr>
          <w:rFonts w:ascii="Palatino Linotype" w:hAnsi="Palatino Linotype" w:cstheme="minorHAnsi"/>
          <w:sz w:val="22"/>
          <w:szCs w:val="22"/>
          <w:lang w:val="fr-BE"/>
        </w:rPr>
      </w:pPr>
      <w:r>
        <w:rPr>
          <w:rFonts w:ascii="Palatino Linotype" w:hAnsi="Palatino Linotype" w:cstheme="minorHAnsi"/>
          <w:sz w:val="22"/>
          <w:szCs w:val="22"/>
          <w:lang w:val="fr-BE"/>
        </w:rPr>
        <w:t>FE</w:t>
      </w:r>
      <w:r w:rsidRPr="00B94AE0">
        <w:rPr>
          <w:rFonts w:ascii="Palatino Linotype" w:hAnsi="Palatino Linotype" w:cstheme="minorHAnsi"/>
          <w:sz w:val="22"/>
          <w:szCs w:val="22"/>
          <w:lang w:val="fr-BE"/>
        </w:rPr>
        <w:t xml:space="preserve">DASIL </w:t>
      </w:r>
      <w:r w:rsidR="00B94AE0" w:rsidRPr="00B94AE0">
        <w:rPr>
          <w:rFonts w:ascii="Palatino Linotype" w:hAnsi="Palatino Linotype" w:cstheme="minorHAnsi"/>
          <w:sz w:val="22"/>
          <w:szCs w:val="22"/>
          <w:lang w:val="fr-BE"/>
        </w:rPr>
        <w:t xml:space="preserve">donne-t-il la priorité à l’information des droits de l’assuré social (ici de demandeur de protection internationale </w:t>
      </w:r>
      <w:proofErr w:type="spellStart"/>
      <w:r w:rsidR="00B94AE0" w:rsidRPr="00B94AE0">
        <w:rPr>
          <w:rFonts w:ascii="Palatino Linotype" w:hAnsi="Palatino Linotype" w:cstheme="minorHAnsi"/>
          <w:sz w:val="22"/>
          <w:szCs w:val="22"/>
          <w:lang w:val="fr-BE"/>
        </w:rPr>
        <w:t>dubliné</w:t>
      </w:r>
      <w:proofErr w:type="spellEnd"/>
      <w:r w:rsidR="00B94AE0" w:rsidRPr="00B94AE0">
        <w:rPr>
          <w:rFonts w:ascii="Palatino Linotype" w:hAnsi="Palatino Linotype" w:cstheme="minorHAnsi"/>
          <w:sz w:val="22"/>
          <w:szCs w:val="22"/>
          <w:lang w:val="fr-BE"/>
        </w:rPr>
        <w:t xml:space="preserve">) lorsque le guide pratique « place Dublin 2021 » met l’accent sur l’organisation de l’accompagnement qui est limité à une sorte d’assistance fonctionnelle, avec pour but principal, notamment, la collaboration optimale à l’organisation au transfert, avec usage d’une communication « plutôt directive » ?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Face à cette constatation précise, le Tribunal estime que l’hébergement « en place retour » d’un centre d’accueil est très sensiblement défavorable à un hébergement en place d’accueil « normale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Si l’intervention de l’Office n’est pas du ressort du Tribunal du Travail, l’accueil l’est par contre effectivement ( article 580,8°,  d et f du code judiciaire).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Dans les faits, le Tribunal constate que l’aide matérielle va prendre fin 10 jours après l’arrivée en « place retour », pour les personnes n’ayant pas répondu favorablement aux attentes de l’Office de Etrangers à l’issue du 2</w:t>
      </w:r>
      <w:r w:rsidRPr="00B94AE0">
        <w:rPr>
          <w:rFonts w:ascii="Palatino Linotype" w:hAnsi="Palatino Linotype" w:cstheme="minorHAnsi"/>
          <w:sz w:val="22"/>
          <w:szCs w:val="22"/>
          <w:vertAlign w:val="superscript"/>
          <w:lang w:val="fr-BE"/>
        </w:rPr>
        <w:t>ème</w:t>
      </w:r>
      <w:r w:rsidR="000B21AB">
        <w:rPr>
          <w:rFonts w:ascii="Palatino Linotype" w:hAnsi="Palatino Linotype" w:cstheme="minorHAnsi"/>
          <w:sz w:val="22"/>
          <w:szCs w:val="22"/>
          <w:lang w:val="fr-BE"/>
        </w:rPr>
        <w:t xml:space="preserve"> rendez-vous (</w:t>
      </w:r>
      <w:r w:rsidRPr="00B94AE0">
        <w:rPr>
          <w:rFonts w:ascii="Palatino Linotype" w:hAnsi="Palatino Linotype" w:cstheme="minorHAnsi"/>
          <w:sz w:val="22"/>
          <w:szCs w:val="22"/>
          <w:lang w:val="fr-BE"/>
        </w:rPr>
        <w:t>éventuellement, sur base d’un manque d’informations des demandeurs de protection internationale sur leur droits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C’est une réalité que le juge de l’aide sociale ne peut ignorer, et qui est bien éloignée du postulat du « changement de logement » à la base du raisonnement de la Cour de Luxembourg. </w:t>
      </w:r>
    </w:p>
    <w:p w:rsidR="000B21AB" w:rsidRPr="00B94AE0" w:rsidRDefault="000B21AB"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Par ailleurs, selon l’analyse du Tribunal, le juge de l’aide sociale doit s’assurer de l’effectivité de celle-ci. La survie des personnes en dépend, l’aide sociale visant la couverture des droits élémentaires.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Comme l’a rappelé encore récemment la Cour Européenne des Droits de l’Homme</w:t>
      </w:r>
      <w:r w:rsidRPr="00B94AE0">
        <w:rPr>
          <w:rFonts w:ascii="Palatino Linotype" w:hAnsi="Palatino Linotype" w:cstheme="minorHAnsi"/>
          <w:sz w:val="22"/>
          <w:szCs w:val="22"/>
          <w:vertAlign w:val="superscript"/>
        </w:rPr>
        <w:footnoteReference w:id="23"/>
      </w:r>
      <w:r w:rsidRPr="00B94AE0">
        <w:rPr>
          <w:rFonts w:ascii="Palatino Linotype" w:hAnsi="Palatino Linotype" w:cstheme="minorHAnsi"/>
          <w:sz w:val="22"/>
          <w:szCs w:val="22"/>
          <w:lang w:val="fr-BE"/>
        </w:rPr>
        <w:t xml:space="preserve">, l’absence de conditions d’accueil décentes, de fait, comprenant la couverture des droits élémentaires, peut violer l’article 3 de la C.E.D.H., cette carence constituant un traitement inhumain et dégradant.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Rappelons enfin que si la protection garantie par les textes internationaux peut avoir une effectivité d’une intensité variable selon les droits visés, l’article  3 de la CEDH (soit l’interdiction de la torture et des traitements inhumains et dégradants) fait l’objet d’une </w:t>
      </w:r>
      <w:r w:rsidRPr="00B94AE0">
        <w:rPr>
          <w:rFonts w:ascii="Palatino Linotype" w:hAnsi="Palatino Linotype" w:cstheme="minorHAnsi"/>
          <w:sz w:val="22"/>
          <w:szCs w:val="22"/>
          <w:u w:val="single"/>
          <w:lang w:val="fr-BE"/>
        </w:rPr>
        <w:t>INTERDICTION ABSOLUE</w:t>
      </w:r>
      <w:r w:rsidRPr="00B94AE0">
        <w:rPr>
          <w:rFonts w:ascii="Palatino Linotype" w:hAnsi="Palatino Linotype" w:cstheme="minorHAnsi"/>
          <w:sz w:val="22"/>
          <w:szCs w:val="22"/>
          <w:u w:val="single"/>
          <w:vertAlign w:val="superscript"/>
        </w:rPr>
        <w:footnoteReference w:id="24"/>
      </w:r>
      <w:r w:rsidRPr="00B94AE0">
        <w:rPr>
          <w:rFonts w:ascii="Palatino Linotype" w:hAnsi="Palatino Linotype" w:cstheme="minorHAnsi"/>
          <w:sz w:val="22"/>
          <w:szCs w:val="22"/>
          <w:lang w:val="fr-BE"/>
        </w:rPr>
        <w:t xml:space="preserve">.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En conclusion, nonobstant une réouverture des débats ordonnée afin de permettre à FEDASIL de mieux rassurer le </w:t>
      </w:r>
      <w:r w:rsidR="00E45C22">
        <w:rPr>
          <w:rFonts w:ascii="Palatino Linotype" w:hAnsi="Palatino Linotype" w:cstheme="minorHAnsi"/>
          <w:sz w:val="22"/>
          <w:szCs w:val="22"/>
          <w:lang w:val="fr-BE"/>
        </w:rPr>
        <w:t>T</w:t>
      </w:r>
      <w:r w:rsidRPr="00B94AE0">
        <w:rPr>
          <w:rFonts w:ascii="Palatino Linotype" w:hAnsi="Palatino Linotype" w:cstheme="minorHAnsi"/>
          <w:sz w:val="22"/>
          <w:szCs w:val="22"/>
          <w:lang w:val="fr-BE"/>
        </w:rPr>
        <w:t>ribunal, il faut constater au moment de la clôture des débats que tel n’est toujours pas le cas.</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En effet, la procédure des trois entretiens Dublin ne semble pas systématiquement respectée par FEDASIL et par l’Office des étrangers, l’accompagnement social en place Dublin est limité à une assistance fonc</w:t>
      </w:r>
      <w:r w:rsidR="00E45C22">
        <w:rPr>
          <w:rFonts w:ascii="Palatino Linotype" w:hAnsi="Palatino Linotype" w:cstheme="minorHAnsi"/>
          <w:sz w:val="22"/>
          <w:szCs w:val="22"/>
          <w:lang w:val="fr-BE"/>
        </w:rPr>
        <w:t>tionnelle</w:t>
      </w:r>
      <w:r w:rsidRPr="00B94AE0">
        <w:rPr>
          <w:rFonts w:ascii="Palatino Linotype" w:hAnsi="Palatino Linotype" w:cstheme="minorHAnsi"/>
          <w:sz w:val="22"/>
          <w:szCs w:val="22"/>
          <w:lang w:val="fr-BE"/>
        </w:rPr>
        <w:t xml:space="preserve"> et à une communication plutôt directive dirigée vers l’efficacité du transfert, alors que l’accueil de FEDASIL doit être neutre et respectueux des choix individuels des demandeurs de protection internationale.</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La sauvegarde du respect du domicile en place Dublin reste par ailleurs sujet à bien des questions, alors que FEDASIL continue de ne pas produire tous les documents qui lui ont déjà été demandés à plusieurs reprises.</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r w:rsidRPr="00B94AE0">
        <w:rPr>
          <w:rFonts w:ascii="Palatino Linotype" w:hAnsi="Palatino Linotype" w:cstheme="minorHAnsi"/>
          <w:sz w:val="22"/>
          <w:szCs w:val="22"/>
          <w:lang w:val="fr-BE"/>
        </w:rPr>
        <w:t xml:space="preserve">La tierce opposition n’est pas fondée. </w:t>
      </w:r>
    </w:p>
    <w:p w:rsidR="00B94AE0" w:rsidRPr="00B94AE0" w:rsidRDefault="00B94AE0" w:rsidP="00B94AE0">
      <w:pPr>
        <w:tabs>
          <w:tab w:val="center" w:pos="6372"/>
        </w:tabs>
        <w:suppressAutoHyphens/>
        <w:spacing w:line="240" w:lineRule="atLeast"/>
        <w:jc w:val="both"/>
        <w:rPr>
          <w:rFonts w:ascii="Palatino Linotype" w:hAnsi="Palatino Linotype" w:cstheme="minorHAnsi"/>
          <w:sz w:val="22"/>
          <w:szCs w:val="22"/>
          <w:lang w:val="fr-BE"/>
        </w:rPr>
      </w:pPr>
    </w:p>
    <w:p w:rsidR="00B94AE0" w:rsidRPr="00B55C05" w:rsidRDefault="00B94AE0">
      <w:pPr>
        <w:tabs>
          <w:tab w:val="center" w:pos="6372"/>
        </w:tabs>
        <w:suppressAutoHyphens/>
        <w:spacing w:line="240" w:lineRule="atLeast"/>
        <w:jc w:val="both"/>
        <w:rPr>
          <w:rFonts w:ascii="Palatino Linotype" w:hAnsi="Palatino Linotype" w:cstheme="minorHAnsi"/>
          <w:sz w:val="22"/>
          <w:szCs w:val="22"/>
          <w:lang w:val="fr-BE"/>
        </w:rPr>
      </w:pPr>
    </w:p>
    <w:p w:rsidR="00016168" w:rsidRPr="005D0C33" w:rsidRDefault="00016168">
      <w:pPr>
        <w:tabs>
          <w:tab w:val="center" w:pos="6372"/>
        </w:tabs>
        <w:suppressAutoHyphens/>
        <w:spacing w:line="240" w:lineRule="atLeast"/>
        <w:jc w:val="center"/>
        <w:rPr>
          <w:rFonts w:ascii="Palatino Linotype" w:hAnsi="Palatino Linotype" w:cstheme="minorHAnsi"/>
          <w:sz w:val="22"/>
          <w:szCs w:val="22"/>
          <w:lang w:val="fr-FR"/>
        </w:rPr>
      </w:pPr>
      <w:r w:rsidRPr="005D0C33">
        <w:rPr>
          <w:rFonts w:ascii="Palatino Linotype" w:hAnsi="Palatino Linotype" w:cstheme="minorHAnsi"/>
          <w:b/>
          <w:bCs/>
          <w:sz w:val="22"/>
          <w:szCs w:val="22"/>
          <w:lang w:val="fr-FR"/>
        </w:rPr>
        <w:t>PAR CES MOTIFS</w:t>
      </w:r>
      <w:r w:rsidRPr="005D0C33">
        <w:rPr>
          <w:rFonts w:ascii="Palatino Linotype" w:hAnsi="Palatino Linotype" w:cstheme="minorHAnsi"/>
          <w:sz w:val="22"/>
          <w:szCs w:val="22"/>
          <w:lang w:val="fr-FR"/>
        </w:rPr>
        <w:t> :</w:t>
      </w:r>
    </w:p>
    <w:p w:rsidR="00016168" w:rsidRPr="005D0C33" w:rsidRDefault="00016168">
      <w:pPr>
        <w:tabs>
          <w:tab w:val="center" w:pos="6372"/>
        </w:tabs>
        <w:suppressAutoHyphens/>
        <w:spacing w:line="240" w:lineRule="atLeast"/>
        <w:jc w:val="both"/>
        <w:rPr>
          <w:rFonts w:ascii="Palatino Linotype" w:hAnsi="Palatino Linotype" w:cstheme="minorHAnsi"/>
          <w:sz w:val="22"/>
          <w:szCs w:val="22"/>
          <w:lang w:val="fr-FR"/>
        </w:rPr>
      </w:pPr>
    </w:p>
    <w:p w:rsidR="00016168" w:rsidRPr="005D0C33" w:rsidRDefault="00016168">
      <w:pPr>
        <w:tabs>
          <w:tab w:val="center" w:pos="6372"/>
        </w:tabs>
        <w:suppressAutoHyphens/>
        <w:jc w:val="both"/>
        <w:rPr>
          <w:rFonts w:ascii="Palatino Linotype" w:hAnsi="Palatino Linotype" w:cstheme="minorHAnsi"/>
          <w:sz w:val="22"/>
          <w:szCs w:val="22"/>
          <w:lang w:val="fr-FR"/>
        </w:rPr>
      </w:pPr>
      <w:r w:rsidRPr="005D0C33">
        <w:rPr>
          <w:rFonts w:ascii="Palatino Linotype" w:hAnsi="Palatino Linotype" w:cstheme="minorHAnsi"/>
          <w:sz w:val="22"/>
          <w:szCs w:val="22"/>
          <w:lang w:val="fr-FR"/>
        </w:rPr>
        <w:t>Vu les articles 584, 1015 et suivants, 1035 et suivants du code judiciaire,</w:t>
      </w:r>
    </w:p>
    <w:p w:rsidR="00016168" w:rsidRPr="005D0C33" w:rsidRDefault="00016168">
      <w:pPr>
        <w:tabs>
          <w:tab w:val="center" w:pos="6372"/>
        </w:tabs>
        <w:suppressAutoHyphens/>
        <w:jc w:val="both"/>
        <w:rPr>
          <w:rFonts w:ascii="Palatino Linotype" w:hAnsi="Palatino Linotype" w:cstheme="minorHAnsi"/>
          <w:sz w:val="22"/>
          <w:szCs w:val="22"/>
          <w:lang w:val="fr-FR"/>
        </w:rPr>
      </w:pPr>
    </w:p>
    <w:p w:rsidR="00016168" w:rsidRPr="005D0C33" w:rsidRDefault="00016168">
      <w:pPr>
        <w:tabs>
          <w:tab w:val="center" w:pos="6372"/>
        </w:tabs>
        <w:suppressAutoHyphens/>
        <w:jc w:val="both"/>
        <w:rPr>
          <w:rFonts w:ascii="Palatino Linotype" w:hAnsi="Palatino Linotype" w:cstheme="minorHAnsi"/>
          <w:sz w:val="22"/>
          <w:szCs w:val="22"/>
          <w:lang w:val="fr-FR"/>
        </w:rPr>
      </w:pPr>
      <w:r w:rsidRPr="005D0C33">
        <w:rPr>
          <w:rFonts w:ascii="Palatino Linotype" w:hAnsi="Palatino Linotype" w:cstheme="minorHAnsi"/>
          <w:sz w:val="22"/>
          <w:szCs w:val="22"/>
          <w:lang w:val="fr-FR"/>
        </w:rPr>
        <w:t>Vu les articles 664 et suivants du Code Judiciaire,</w:t>
      </w:r>
    </w:p>
    <w:p w:rsidR="00CF20B0" w:rsidRPr="005D0C33" w:rsidRDefault="00CF20B0">
      <w:pPr>
        <w:tabs>
          <w:tab w:val="center" w:pos="6372"/>
        </w:tabs>
        <w:suppressAutoHyphens/>
        <w:jc w:val="both"/>
        <w:rPr>
          <w:rFonts w:ascii="Palatino Linotype" w:hAnsi="Palatino Linotype" w:cstheme="minorHAnsi"/>
          <w:sz w:val="22"/>
          <w:szCs w:val="22"/>
          <w:lang w:val="fr-BE"/>
        </w:rPr>
      </w:pPr>
    </w:p>
    <w:p w:rsidR="00016168" w:rsidRPr="005D0C33" w:rsidRDefault="00016168">
      <w:pPr>
        <w:tabs>
          <w:tab w:val="center" w:pos="6372"/>
        </w:tabs>
        <w:suppressAutoHyphens/>
        <w:jc w:val="both"/>
        <w:rPr>
          <w:rFonts w:ascii="Palatino Linotype" w:hAnsi="Palatino Linotype" w:cstheme="minorHAnsi"/>
          <w:sz w:val="22"/>
          <w:szCs w:val="22"/>
          <w:lang w:val="fr-FR"/>
        </w:rPr>
      </w:pPr>
      <w:r w:rsidRPr="005D0C33">
        <w:rPr>
          <w:rFonts w:ascii="Palatino Linotype" w:hAnsi="Palatino Linotype" w:cstheme="minorHAnsi"/>
          <w:sz w:val="22"/>
          <w:szCs w:val="22"/>
          <w:lang w:val="fr-FR"/>
        </w:rPr>
        <w:t>Vu les dispositions de la loi du 15 juin 1935 sur l’emploi des langues en matière judiciaire et notamment son article 1</w:t>
      </w:r>
      <w:r w:rsidRPr="005D0C33">
        <w:rPr>
          <w:rFonts w:ascii="Palatino Linotype" w:hAnsi="Palatino Linotype" w:cstheme="minorHAnsi"/>
          <w:sz w:val="22"/>
          <w:szCs w:val="22"/>
          <w:vertAlign w:val="superscript"/>
          <w:lang w:val="fr-FR"/>
        </w:rPr>
        <w:t>er</w:t>
      </w:r>
      <w:r w:rsidRPr="005D0C33">
        <w:rPr>
          <w:rFonts w:ascii="Palatino Linotype" w:hAnsi="Palatino Linotype" w:cstheme="minorHAnsi"/>
          <w:sz w:val="22"/>
          <w:szCs w:val="22"/>
          <w:lang w:val="fr-FR"/>
        </w:rPr>
        <w:t xml:space="preserve">, dont le respect a été assuré, </w:t>
      </w:r>
    </w:p>
    <w:p w:rsidR="00016168" w:rsidRPr="005D0C33" w:rsidRDefault="00016168">
      <w:pPr>
        <w:pStyle w:val="Corpsdetexte3"/>
        <w:spacing w:line="240" w:lineRule="auto"/>
        <w:rPr>
          <w:rFonts w:ascii="Palatino Linotype" w:hAnsi="Palatino Linotype" w:cstheme="minorHAnsi"/>
          <w:sz w:val="22"/>
          <w:szCs w:val="22"/>
        </w:rPr>
      </w:pPr>
      <w:r w:rsidRPr="005D0C33">
        <w:rPr>
          <w:rFonts w:ascii="Palatino Linotype" w:hAnsi="Palatino Linotype" w:cstheme="minorHAnsi"/>
          <w:sz w:val="22"/>
          <w:szCs w:val="22"/>
        </w:rPr>
        <w:t xml:space="preserve">Nous, </w:t>
      </w:r>
      <w:r w:rsidR="003659F9">
        <w:rPr>
          <w:rFonts w:ascii="Palatino Linotype" w:hAnsi="Palatino Linotype" w:cstheme="minorHAnsi"/>
          <w:b/>
          <w:sz w:val="22"/>
          <w:szCs w:val="22"/>
        </w:rPr>
        <w:t>Renaud GASON</w:t>
      </w:r>
      <w:r w:rsidRPr="005D0C33">
        <w:rPr>
          <w:rFonts w:ascii="Palatino Linotype" w:hAnsi="Palatino Linotype" w:cstheme="minorHAnsi"/>
          <w:sz w:val="22"/>
          <w:szCs w:val="22"/>
        </w:rPr>
        <w:t>, Président</w:t>
      </w:r>
      <w:r w:rsidR="005D5479" w:rsidRPr="005D0C33">
        <w:rPr>
          <w:rFonts w:ascii="Palatino Linotype" w:hAnsi="Palatino Linotype" w:cstheme="minorHAnsi"/>
          <w:sz w:val="22"/>
          <w:szCs w:val="22"/>
        </w:rPr>
        <w:t xml:space="preserve"> de Division</w:t>
      </w:r>
      <w:r w:rsidR="005806ED" w:rsidRPr="005D0C33">
        <w:rPr>
          <w:rFonts w:ascii="Palatino Linotype" w:hAnsi="Palatino Linotype" w:cstheme="minorHAnsi"/>
          <w:sz w:val="22"/>
          <w:szCs w:val="22"/>
        </w:rPr>
        <w:t xml:space="preserve"> faisant fonction</w:t>
      </w:r>
      <w:r w:rsidR="005D5479" w:rsidRPr="005D0C33">
        <w:rPr>
          <w:rFonts w:ascii="Palatino Linotype" w:hAnsi="Palatino Linotype" w:cstheme="minorHAnsi"/>
          <w:sz w:val="22"/>
          <w:szCs w:val="22"/>
        </w:rPr>
        <w:t xml:space="preserve"> de Président</w:t>
      </w:r>
      <w:r w:rsidRPr="005D0C33">
        <w:rPr>
          <w:rFonts w:ascii="Palatino Linotype" w:hAnsi="Palatino Linotype" w:cstheme="minorHAnsi"/>
          <w:sz w:val="22"/>
          <w:szCs w:val="22"/>
        </w:rPr>
        <w:t xml:space="preserve"> du Tribunal du </w:t>
      </w:r>
      <w:r w:rsidR="005806ED" w:rsidRPr="005D0C33">
        <w:rPr>
          <w:rFonts w:ascii="Palatino Linotype" w:hAnsi="Palatino Linotype" w:cstheme="minorHAnsi"/>
          <w:sz w:val="22"/>
          <w:szCs w:val="22"/>
        </w:rPr>
        <w:t>travail de Li</w:t>
      </w:r>
      <w:r w:rsidR="003659F9">
        <w:rPr>
          <w:rFonts w:ascii="Palatino Linotype" w:hAnsi="Palatino Linotype" w:cstheme="minorHAnsi"/>
          <w:sz w:val="22"/>
          <w:szCs w:val="22"/>
        </w:rPr>
        <w:t>ège, assisté</w:t>
      </w:r>
      <w:r w:rsidR="005D5479" w:rsidRPr="005D0C33">
        <w:rPr>
          <w:rFonts w:ascii="Palatino Linotype" w:hAnsi="Palatino Linotype" w:cstheme="minorHAnsi"/>
          <w:sz w:val="22"/>
          <w:szCs w:val="22"/>
        </w:rPr>
        <w:t xml:space="preserve"> de </w:t>
      </w:r>
      <w:r w:rsidR="00B94AE0">
        <w:rPr>
          <w:rFonts w:ascii="Palatino Linotype" w:hAnsi="Palatino Linotype" w:cstheme="minorHAnsi"/>
          <w:b/>
          <w:sz w:val="22"/>
          <w:szCs w:val="22"/>
        </w:rPr>
        <w:t>Estelle GHENNE</w:t>
      </w:r>
      <w:r w:rsidR="005806ED" w:rsidRPr="005D0C33">
        <w:rPr>
          <w:rFonts w:ascii="Palatino Linotype" w:hAnsi="Palatino Linotype" w:cstheme="minorHAnsi"/>
          <w:sz w:val="22"/>
          <w:szCs w:val="22"/>
        </w:rPr>
        <w:t>, Greffier</w:t>
      </w:r>
      <w:r w:rsidRPr="005D0C33">
        <w:rPr>
          <w:rFonts w:ascii="Palatino Linotype" w:hAnsi="Palatino Linotype" w:cstheme="minorHAnsi"/>
          <w:sz w:val="22"/>
          <w:szCs w:val="22"/>
        </w:rPr>
        <w:t>,</w:t>
      </w:r>
    </w:p>
    <w:p w:rsidR="00885A94" w:rsidRDefault="00885A94">
      <w:pPr>
        <w:rPr>
          <w:rFonts w:ascii="Palatino Linotype" w:hAnsi="Palatino Linotype" w:cstheme="minorHAnsi"/>
          <w:sz w:val="22"/>
          <w:szCs w:val="22"/>
          <w:lang w:val="fr-FR"/>
        </w:rPr>
      </w:pPr>
    </w:p>
    <w:p w:rsidR="003659F9" w:rsidRDefault="003659F9" w:rsidP="003659F9">
      <w:pPr>
        <w:tabs>
          <w:tab w:val="left" w:pos="-720"/>
        </w:tabs>
        <w:suppressAutoHyphens/>
        <w:ind w:right="-2"/>
        <w:jc w:val="both"/>
        <w:rPr>
          <w:rFonts w:ascii="Palatino Linotype" w:hAnsi="Palatino Linotype" w:cstheme="minorHAnsi"/>
          <w:spacing w:val="-3"/>
          <w:sz w:val="22"/>
          <w:szCs w:val="22"/>
          <w:lang w:val="fr-BE"/>
        </w:rPr>
      </w:pPr>
      <w:r w:rsidRPr="003659F9">
        <w:rPr>
          <w:rFonts w:ascii="Palatino Linotype" w:hAnsi="Palatino Linotype" w:cstheme="minorHAnsi"/>
          <w:spacing w:val="-3"/>
          <w:sz w:val="22"/>
          <w:szCs w:val="22"/>
          <w:lang w:val="fr-BE"/>
        </w:rPr>
        <w:t>Statuant publiquement et contradictoirement,</w:t>
      </w:r>
    </w:p>
    <w:p w:rsidR="003659F9" w:rsidRPr="003659F9" w:rsidRDefault="003659F9" w:rsidP="003659F9">
      <w:pPr>
        <w:tabs>
          <w:tab w:val="left" w:pos="-720"/>
        </w:tabs>
        <w:suppressAutoHyphens/>
        <w:ind w:right="-2"/>
        <w:jc w:val="both"/>
        <w:rPr>
          <w:rFonts w:ascii="Palatino Linotype" w:hAnsi="Palatino Linotype" w:cstheme="minorHAnsi"/>
          <w:spacing w:val="-3"/>
          <w:sz w:val="22"/>
          <w:szCs w:val="22"/>
          <w:lang w:val="fr-BE"/>
        </w:rPr>
      </w:pPr>
    </w:p>
    <w:p w:rsidR="00B94AE0" w:rsidRDefault="00B94AE0" w:rsidP="00B94AE0">
      <w:pPr>
        <w:jc w:val="both"/>
        <w:rPr>
          <w:rFonts w:ascii="Palatino Linotype" w:hAnsi="Palatino Linotype" w:cstheme="minorHAnsi"/>
          <w:spacing w:val="-3"/>
          <w:sz w:val="22"/>
          <w:szCs w:val="22"/>
          <w:lang w:val="fr-BE"/>
        </w:rPr>
      </w:pPr>
      <w:r>
        <w:rPr>
          <w:rFonts w:ascii="Palatino Linotype" w:hAnsi="Palatino Linotype" w:cstheme="minorHAnsi"/>
          <w:spacing w:val="-3"/>
          <w:sz w:val="22"/>
          <w:szCs w:val="22"/>
          <w:lang w:val="fr-BE"/>
        </w:rPr>
        <w:t>D</w:t>
      </w:r>
      <w:r w:rsidRPr="00B94AE0">
        <w:rPr>
          <w:rFonts w:ascii="Palatino Linotype" w:hAnsi="Palatino Linotype" w:cstheme="minorHAnsi"/>
          <w:spacing w:val="-3"/>
          <w:sz w:val="22"/>
          <w:szCs w:val="22"/>
          <w:lang w:val="fr-BE"/>
        </w:rPr>
        <w:t xml:space="preserve">isons la tierce opposition de FEDASIL, et l’intervention volontaire de l’État belge, recevables, mais </w:t>
      </w:r>
      <w:bookmarkStart w:id="1" w:name="_GoBack"/>
      <w:bookmarkEnd w:id="1"/>
      <w:r w:rsidRPr="00B94AE0">
        <w:rPr>
          <w:rFonts w:ascii="Palatino Linotype" w:hAnsi="Palatino Linotype" w:cstheme="minorHAnsi"/>
          <w:spacing w:val="-3"/>
          <w:sz w:val="22"/>
          <w:szCs w:val="22"/>
          <w:lang w:val="fr-BE"/>
        </w:rPr>
        <w:t>non fondées.</w:t>
      </w:r>
    </w:p>
    <w:p w:rsidR="00B94AE0" w:rsidRPr="00B94AE0" w:rsidRDefault="00B94AE0" w:rsidP="00B94AE0">
      <w:pPr>
        <w:jc w:val="both"/>
        <w:rPr>
          <w:rFonts w:ascii="Palatino Linotype" w:hAnsi="Palatino Linotype" w:cstheme="minorHAnsi"/>
          <w:spacing w:val="-3"/>
          <w:sz w:val="22"/>
          <w:szCs w:val="22"/>
          <w:lang w:val="fr-BE"/>
        </w:rPr>
      </w:pPr>
    </w:p>
    <w:p w:rsidR="00B94AE0" w:rsidRDefault="00B94AE0" w:rsidP="00B94AE0">
      <w:pPr>
        <w:jc w:val="both"/>
        <w:rPr>
          <w:rFonts w:ascii="Palatino Linotype" w:hAnsi="Palatino Linotype" w:cstheme="minorHAnsi"/>
          <w:spacing w:val="-3"/>
          <w:sz w:val="22"/>
          <w:szCs w:val="22"/>
          <w:lang w:val="fr-BE"/>
        </w:rPr>
      </w:pPr>
      <w:r w:rsidRPr="00B94AE0">
        <w:rPr>
          <w:rFonts w:ascii="Palatino Linotype" w:hAnsi="Palatino Linotype" w:cstheme="minorHAnsi"/>
          <w:spacing w:val="-3"/>
          <w:sz w:val="22"/>
          <w:szCs w:val="22"/>
          <w:lang w:val="fr-BE"/>
        </w:rPr>
        <w:t>Ce fait, confirmons l’ordonnance contestée en toutes ses dispositions.</w:t>
      </w:r>
    </w:p>
    <w:p w:rsidR="008D29F7" w:rsidRDefault="008D29F7" w:rsidP="00B94AE0">
      <w:pPr>
        <w:jc w:val="both"/>
        <w:rPr>
          <w:rFonts w:ascii="Palatino Linotype" w:hAnsi="Palatino Linotype" w:cstheme="minorHAnsi"/>
          <w:spacing w:val="-3"/>
          <w:sz w:val="22"/>
          <w:szCs w:val="22"/>
          <w:lang w:val="fr-BE"/>
        </w:rPr>
      </w:pPr>
    </w:p>
    <w:p w:rsidR="008D29F7" w:rsidRPr="008D29F7" w:rsidRDefault="008D29F7" w:rsidP="00B94AE0">
      <w:pPr>
        <w:jc w:val="both"/>
        <w:rPr>
          <w:rFonts w:ascii="Palatino Linotype" w:hAnsi="Palatino Linotype" w:cstheme="minorHAnsi"/>
          <w:spacing w:val="-3"/>
          <w:sz w:val="22"/>
          <w:szCs w:val="22"/>
          <w:lang w:val="fr-BE"/>
        </w:rPr>
      </w:pPr>
      <w:r w:rsidRPr="008D29F7">
        <w:rPr>
          <w:rFonts w:ascii="Palatino Linotype" w:hAnsi="Palatino Linotype" w:cstheme="minorHAnsi"/>
          <w:spacing w:val="-3"/>
          <w:sz w:val="22"/>
          <w:szCs w:val="22"/>
          <w:lang w:val="fr-BE"/>
        </w:rPr>
        <w:t xml:space="preserve">En application de l’article 1017 du code judiciaire, condamne </w:t>
      </w:r>
      <w:r>
        <w:rPr>
          <w:rFonts w:ascii="Palatino Linotype" w:hAnsi="Palatino Linotype" w:cstheme="minorHAnsi"/>
          <w:spacing w:val="-3"/>
          <w:sz w:val="22"/>
          <w:szCs w:val="22"/>
          <w:lang w:val="fr-BE"/>
        </w:rPr>
        <w:t>FE</w:t>
      </w:r>
      <w:r w:rsidRPr="008D29F7">
        <w:rPr>
          <w:rFonts w:ascii="Palatino Linotype" w:hAnsi="Palatino Linotype" w:cstheme="minorHAnsi"/>
          <w:spacing w:val="-3"/>
          <w:sz w:val="22"/>
          <w:szCs w:val="22"/>
          <w:lang w:val="fr-BE"/>
        </w:rPr>
        <w:t>DASIL aux frais et dépens de la procédure, non liquidés, ainsi qu’à l’indemnité de 22</w:t>
      </w:r>
      <w:r>
        <w:rPr>
          <w:rFonts w:ascii="Palatino Linotype" w:hAnsi="Palatino Linotype" w:cstheme="minorHAnsi"/>
          <w:spacing w:val="-3"/>
          <w:sz w:val="22"/>
          <w:szCs w:val="22"/>
          <w:lang w:val="fr-BE"/>
        </w:rPr>
        <w:t>,00 </w:t>
      </w:r>
      <w:r w:rsidRPr="008D29F7">
        <w:rPr>
          <w:rFonts w:ascii="Palatino Linotype" w:hAnsi="Palatino Linotype" w:cstheme="minorHAnsi"/>
          <w:spacing w:val="-3"/>
          <w:sz w:val="22"/>
          <w:szCs w:val="22"/>
          <w:lang w:val="fr-BE"/>
        </w:rPr>
        <w:t>€ au bénéfice du fonds cofinançant l’aide juridique de 2ème ligne </w:t>
      </w:r>
      <w:r>
        <w:rPr>
          <w:rFonts w:ascii="Palatino Linotype" w:hAnsi="Palatino Linotype" w:cstheme="minorHAnsi"/>
          <w:spacing w:val="-3"/>
          <w:sz w:val="22"/>
          <w:szCs w:val="22"/>
          <w:lang w:val="fr-BE"/>
        </w:rPr>
        <w:t>.</w:t>
      </w:r>
    </w:p>
    <w:p w:rsidR="00B20AC3" w:rsidRPr="003659F9" w:rsidRDefault="00B20AC3" w:rsidP="00B94AE0">
      <w:pPr>
        <w:tabs>
          <w:tab w:val="left" w:pos="-720"/>
        </w:tabs>
        <w:suppressAutoHyphens/>
        <w:ind w:right="-2"/>
        <w:jc w:val="both"/>
        <w:rPr>
          <w:rFonts w:ascii="Palatino Linotype" w:hAnsi="Palatino Linotype" w:cstheme="minorHAnsi"/>
          <w:spacing w:val="-3"/>
          <w:sz w:val="22"/>
          <w:szCs w:val="22"/>
          <w:lang w:val="fr-BE"/>
        </w:rPr>
      </w:pPr>
    </w:p>
    <w:p w:rsidR="00275F82" w:rsidRPr="005D0C33" w:rsidRDefault="00275F82" w:rsidP="00275F82">
      <w:pPr>
        <w:tabs>
          <w:tab w:val="left" w:pos="-720"/>
        </w:tabs>
        <w:suppressAutoHyphens/>
        <w:ind w:right="-2"/>
        <w:jc w:val="both"/>
        <w:rPr>
          <w:rFonts w:ascii="Palatino Linotype" w:hAnsi="Palatino Linotype" w:cstheme="minorHAnsi"/>
          <w:spacing w:val="-3"/>
          <w:sz w:val="22"/>
          <w:szCs w:val="22"/>
          <w:lang w:val="fr-FR"/>
        </w:rPr>
      </w:pPr>
      <w:r w:rsidRPr="005D0C33">
        <w:rPr>
          <w:rFonts w:ascii="Palatino Linotype" w:hAnsi="Palatino Linotype" w:cstheme="minorHAnsi"/>
          <w:spacing w:val="-3"/>
          <w:sz w:val="22"/>
          <w:szCs w:val="22"/>
          <w:lang w:val="fr-FR"/>
        </w:rPr>
        <w:t xml:space="preserve">Fait et prononcé, en langue française, à l’audience publique, de la chambre des référés du Tribunal du Travail de Liège siégeant à 4000 LIEGE, place Saint-Lambert, 30/0004, du </w:t>
      </w:r>
      <w:r w:rsidR="00B94AE0">
        <w:rPr>
          <w:rFonts w:ascii="Palatino Linotype" w:hAnsi="Palatino Linotype" w:cstheme="minorHAnsi"/>
          <w:b/>
          <w:spacing w:val="-3"/>
          <w:sz w:val="22"/>
          <w:szCs w:val="22"/>
          <w:lang w:val="fr-FR"/>
        </w:rPr>
        <w:t>vingt-six avril</w:t>
      </w:r>
      <w:r w:rsidR="004875A7" w:rsidRPr="005D0C33">
        <w:rPr>
          <w:rFonts w:ascii="Palatino Linotype" w:hAnsi="Palatino Linotype" w:cstheme="minorHAnsi"/>
          <w:spacing w:val="-3"/>
          <w:sz w:val="22"/>
          <w:szCs w:val="22"/>
          <w:lang w:val="fr-FR"/>
        </w:rPr>
        <w:t xml:space="preserve"> </w:t>
      </w:r>
      <w:r w:rsidR="004875A7" w:rsidRPr="005D0C33">
        <w:rPr>
          <w:rFonts w:ascii="Palatino Linotype" w:hAnsi="Palatino Linotype" w:cstheme="minorHAnsi"/>
          <w:b/>
          <w:spacing w:val="-3"/>
          <w:sz w:val="22"/>
          <w:szCs w:val="22"/>
          <w:lang w:val="fr-FR"/>
        </w:rPr>
        <w:t>deux mille vingt</w:t>
      </w:r>
      <w:r w:rsidR="00B20AC3">
        <w:rPr>
          <w:rFonts w:ascii="Palatino Linotype" w:hAnsi="Palatino Linotype" w:cstheme="minorHAnsi"/>
          <w:b/>
          <w:spacing w:val="-3"/>
          <w:sz w:val="22"/>
          <w:szCs w:val="22"/>
          <w:lang w:val="fr-FR"/>
        </w:rPr>
        <w:t>-deux</w:t>
      </w:r>
      <w:r w:rsidR="00446464">
        <w:rPr>
          <w:rFonts w:ascii="Palatino Linotype" w:hAnsi="Palatino Linotype" w:cstheme="minorHAnsi"/>
          <w:b/>
          <w:spacing w:val="-3"/>
          <w:sz w:val="22"/>
          <w:szCs w:val="22"/>
          <w:lang w:val="fr-FR"/>
        </w:rPr>
        <w:t>.</w:t>
      </w:r>
    </w:p>
    <w:p w:rsidR="00275F82" w:rsidRPr="005D0C33" w:rsidRDefault="00275F82" w:rsidP="00275F82">
      <w:pPr>
        <w:ind w:right="-2"/>
        <w:jc w:val="both"/>
        <w:rPr>
          <w:rFonts w:ascii="Palatino Linotype" w:hAnsi="Palatino Linotype" w:cstheme="minorHAnsi"/>
          <w:sz w:val="22"/>
          <w:szCs w:val="22"/>
          <w:lang w:val="fr-FR"/>
        </w:rPr>
      </w:pPr>
    </w:p>
    <w:p w:rsidR="00275F82" w:rsidRPr="005D0C33" w:rsidRDefault="00275F82">
      <w:pPr>
        <w:ind w:right="-2"/>
        <w:jc w:val="both"/>
        <w:rPr>
          <w:rFonts w:ascii="Palatino Linotype" w:hAnsi="Palatino Linotype" w:cstheme="minorHAnsi"/>
          <w:sz w:val="22"/>
          <w:szCs w:val="22"/>
          <w:lang w:val="fr-FR"/>
        </w:rPr>
      </w:pPr>
      <w:r w:rsidRPr="005D0C33">
        <w:rPr>
          <w:rFonts w:ascii="Palatino Linotype" w:hAnsi="Palatino Linotype" w:cstheme="minorHAnsi"/>
          <w:sz w:val="22"/>
          <w:szCs w:val="22"/>
          <w:lang w:val="fr-FR"/>
        </w:rPr>
        <w:t>Dont acte,</w:t>
      </w:r>
      <w:r w:rsidR="00B20AC3">
        <w:rPr>
          <w:rFonts w:ascii="Palatino Linotype" w:hAnsi="Palatino Linotype" w:cstheme="minorHAnsi"/>
          <w:sz w:val="22"/>
          <w:szCs w:val="22"/>
          <w:lang w:val="fr-FR"/>
        </w:rPr>
        <w:t xml:space="preserve"> signé par le</w:t>
      </w:r>
      <w:r w:rsidR="00AB14D2">
        <w:rPr>
          <w:rFonts w:ascii="Palatino Linotype" w:hAnsi="Palatino Linotype" w:cstheme="minorHAnsi"/>
          <w:sz w:val="22"/>
          <w:szCs w:val="22"/>
          <w:lang w:val="fr-FR"/>
        </w:rPr>
        <w:t xml:space="preserve"> Président et le G</w:t>
      </w:r>
      <w:r w:rsidRPr="005D0C33">
        <w:rPr>
          <w:rFonts w:ascii="Palatino Linotype" w:hAnsi="Palatino Linotype" w:cstheme="minorHAnsi"/>
          <w:sz w:val="22"/>
          <w:szCs w:val="22"/>
          <w:lang w:val="fr-FR"/>
        </w:rPr>
        <w:t>reffier.</w:t>
      </w:r>
    </w:p>
    <w:p w:rsidR="000F164C" w:rsidRDefault="000F164C">
      <w:pPr>
        <w:ind w:right="-2"/>
        <w:jc w:val="both"/>
        <w:rPr>
          <w:rFonts w:ascii="Palatino Linotype" w:hAnsi="Palatino Linotype" w:cstheme="minorHAnsi"/>
          <w:bCs/>
          <w:sz w:val="22"/>
          <w:szCs w:val="22"/>
          <w:lang w:val="fr-FR"/>
        </w:rPr>
      </w:pPr>
    </w:p>
    <w:p w:rsidR="008B30CE" w:rsidRPr="005D0C33" w:rsidRDefault="008B30CE">
      <w:pPr>
        <w:ind w:right="-2"/>
        <w:jc w:val="both"/>
        <w:rPr>
          <w:rFonts w:ascii="Palatino Linotype" w:hAnsi="Palatino Linotype" w:cstheme="minorHAnsi"/>
          <w:bCs/>
          <w:sz w:val="22"/>
          <w:szCs w:val="22"/>
          <w:lang w:val="fr-FR"/>
        </w:rPr>
      </w:pPr>
    </w:p>
    <w:p w:rsidR="00016168" w:rsidRPr="00B20AC3" w:rsidRDefault="00AB14D2" w:rsidP="00B20AC3">
      <w:pPr>
        <w:ind w:right="-2" w:firstLine="720"/>
        <w:jc w:val="both"/>
        <w:rPr>
          <w:rFonts w:ascii="Palatino Linotype" w:hAnsi="Palatino Linotype" w:cstheme="minorHAnsi"/>
          <w:bCs/>
          <w:sz w:val="22"/>
          <w:szCs w:val="22"/>
          <w:lang w:val="fr-FR"/>
        </w:rPr>
      </w:pPr>
      <w:r>
        <w:rPr>
          <w:rFonts w:ascii="Palatino Linotype" w:hAnsi="Palatino Linotype" w:cstheme="minorHAnsi"/>
          <w:bCs/>
          <w:sz w:val="22"/>
          <w:szCs w:val="22"/>
          <w:lang w:val="fr-FR"/>
        </w:rPr>
        <w:t>Le G</w:t>
      </w:r>
      <w:r w:rsidR="00016168" w:rsidRPr="005D0C33">
        <w:rPr>
          <w:rFonts w:ascii="Palatino Linotype" w:hAnsi="Palatino Linotype" w:cstheme="minorHAnsi"/>
          <w:bCs/>
          <w:sz w:val="22"/>
          <w:szCs w:val="22"/>
          <w:lang w:val="fr-FR"/>
        </w:rPr>
        <w:t xml:space="preserve">reffier,           </w:t>
      </w:r>
      <w:r w:rsidR="00016168" w:rsidRPr="005D0C33">
        <w:rPr>
          <w:rFonts w:ascii="Palatino Linotype" w:hAnsi="Palatino Linotype" w:cstheme="minorHAnsi"/>
          <w:bCs/>
          <w:sz w:val="22"/>
          <w:szCs w:val="22"/>
          <w:lang w:val="fr-FR"/>
        </w:rPr>
        <w:tab/>
      </w:r>
      <w:r w:rsidR="008B30CE">
        <w:rPr>
          <w:rFonts w:ascii="Palatino Linotype" w:hAnsi="Palatino Linotype" w:cstheme="minorHAnsi"/>
          <w:bCs/>
          <w:sz w:val="22"/>
          <w:szCs w:val="22"/>
          <w:lang w:val="fr-FR"/>
        </w:rPr>
        <w:tab/>
      </w:r>
      <w:r w:rsidR="008B30CE">
        <w:rPr>
          <w:rFonts w:ascii="Palatino Linotype" w:hAnsi="Palatino Linotype" w:cstheme="minorHAnsi"/>
          <w:bCs/>
          <w:sz w:val="22"/>
          <w:szCs w:val="22"/>
          <w:lang w:val="fr-FR"/>
        </w:rPr>
        <w:tab/>
      </w:r>
      <w:r w:rsidR="00016168" w:rsidRPr="005D0C33">
        <w:rPr>
          <w:rFonts w:ascii="Palatino Linotype" w:hAnsi="Palatino Linotype" w:cstheme="minorHAnsi"/>
          <w:bCs/>
          <w:sz w:val="22"/>
          <w:szCs w:val="22"/>
          <w:lang w:val="fr-FR"/>
        </w:rPr>
        <w:t>L</w:t>
      </w:r>
      <w:r w:rsidR="00B20AC3">
        <w:rPr>
          <w:rFonts w:ascii="Palatino Linotype" w:hAnsi="Palatino Linotype" w:cstheme="minorHAnsi"/>
          <w:bCs/>
          <w:sz w:val="22"/>
          <w:szCs w:val="22"/>
          <w:lang w:val="fr-FR"/>
        </w:rPr>
        <w:t>e</w:t>
      </w:r>
      <w:r w:rsidR="00016168" w:rsidRPr="005D0C33">
        <w:rPr>
          <w:rFonts w:ascii="Palatino Linotype" w:hAnsi="Palatino Linotype" w:cstheme="minorHAnsi"/>
          <w:bCs/>
          <w:sz w:val="22"/>
          <w:szCs w:val="22"/>
          <w:lang w:val="fr-FR"/>
        </w:rPr>
        <w:t xml:space="preserve"> Président</w:t>
      </w:r>
      <w:r w:rsidR="00016168" w:rsidRPr="005D0C33">
        <w:rPr>
          <w:rFonts w:ascii="Palatino Linotype" w:hAnsi="Palatino Linotype" w:cstheme="minorHAnsi"/>
          <w:b/>
          <w:sz w:val="22"/>
          <w:szCs w:val="22"/>
          <w:lang w:val="fr-FR"/>
        </w:rPr>
        <w:t>,</w:t>
      </w:r>
    </w:p>
    <w:sectPr w:rsidR="00016168" w:rsidRPr="00B20AC3">
      <w:headerReference w:type="default" r:id="rId8"/>
      <w:footerReference w:type="even" r:id="rId9"/>
      <w:footerReference w:type="default" r:id="rId10"/>
      <w:pgSz w:w="11906" w:h="16838"/>
      <w:pgMar w:top="719" w:right="926" w:bottom="1258" w:left="2268" w:header="709" w:footer="709"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52" w:rsidRDefault="00F65952">
      <w:r>
        <w:separator/>
      </w:r>
    </w:p>
  </w:endnote>
  <w:endnote w:type="continuationSeparator" w:id="0">
    <w:p w:rsidR="00F65952" w:rsidRDefault="00F6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tique Olive (W1)">
    <w:altName w:val="Trebuchet MS"/>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52" w:rsidRDefault="00F6595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65952" w:rsidRDefault="00F6595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52" w:rsidRDefault="00F6595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47B26">
      <w:rPr>
        <w:rStyle w:val="Numrodepage"/>
        <w:noProof/>
      </w:rPr>
      <w:t>22</w:t>
    </w:r>
    <w:r>
      <w:rPr>
        <w:rStyle w:val="Numrodepage"/>
      </w:rPr>
      <w:fldChar w:fldCharType="end"/>
    </w:r>
  </w:p>
  <w:p w:rsidR="00F65952" w:rsidRDefault="00F65952">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52" w:rsidRDefault="00F65952">
      <w:r>
        <w:separator/>
      </w:r>
    </w:p>
  </w:footnote>
  <w:footnote w:type="continuationSeparator" w:id="0">
    <w:p w:rsidR="00F65952" w:rsidRDefault="00F65952">
      <w:r>
        <w:continuationSeparator/>
      </w:r>
    </w:p>
  </w:footnote>
  <w:footnote w:id="1">
    <w:p w:rsidR="00F65952" w:rsidRPr="00344779" w:rsidRDefault="00F65952" w:rsidP="00344779">
      <w:pPr>
        <w:pStyle w:val="Notedebasdepage"/>
        <w:rPr>
          <w:lang w:val="fr-BE"/>
        </w:rPr>
      </w:pPr>
      <w:r>
        <w:rPr>
          <w:rStyle w:val="Appelnotedebasdep"/>
        </w:rPr>
        <w:footnoteRef/>
      </w:r>
      <w:r w:rsidRPr="00344779">
        <w:rPr>
          <w:lang w:val="fr-BE"/>
        </w:rPr>
        <w:t xml:space="preserve"> Soit la moins favorable des trois possibilités laissées aux Etats pour modaliser le caractère suspensif du recours, du point de vue de la protection des droits fondamentaux des demandeurs de protection internationale </w:t>
      </w:r>
      <w:proofErr w:type="spellStart"/>
      <w:r w:rsidRPr="00344779">
        <w:rPr>
          <w:lang w:val="fr-BE"/>
        </w:rPr>
        <w:t>dublinés</w:t>
      </w:r>
      <w:proofErr w:type="spellEnd"/>
      <w:r w:rsidRPr="00344779">
        <w:rPr>
          <w:lang w:val="fr-BE"/>
        </w:rPr>
        <w:t xml:space="preserve">.  </w:t>
      </w:r>
    </w:p>
  </w:footnote>
  <w:footnote w:id="2">
    <w:p w:rsidR="00F65952" w:rsidRPr="00344779" w:rsidRDefault="00F65952" w:rsidP="00344779">
      <w:pPr>
        <w:pStyle w:val="Notedebasdepage"/>
        <w:rPr>
          <w:lang w:val="fr-BE"/>
        </w:rPr>
      </w:pPr>
      <w:r>
        <w:rPr>
          <w:rStyle w:val="Appelnotedebasdep"/>
        </w:rPr>
        <w:footnoteRef/>
      </w:r>
      <w:r w:rsidRPr="00344779">
        <w:rPr>
          <w:lang w:val="fr-BE"/>
        </w:rPr>
        <w:t xml:space="preserve"> Droit des étrangers, Carlier &amp; </w:t>
      </w:r>
      <w:proofErr w:type="spellStart"/>
      <w:r w:rsidRPr="00344779">
        <w:rPr>
          <w:lang w:val="fr-BE"/>
        </w:rPr>
        <w:t>Sarolea</w:t>
      </w:r>
      <w:proofErr w:type="spellEnd"/>
      <w:r w:rsidRPr="00344779">
        <w:rPr>
          <w:lang w:val="fr-BE"/>
        </w:rPr>
        <w:t xml:space="preserve">, </w:t>
      </w:r>
      <w:proofErr w:type="spellStart"/>
      <w:r w:rsidRPr="00344779">
        <w:rPr>
          <w:lang w:val="fr-BE"/>
        </w:rPr>
        <w:t>Larcier</w:t>
      </w:r>
      <w:proofErr w:type="spellEnd"/>
      <w:r w:rsidRPr="00344779">
        <w:rPr>
          <w:lang w:val="fr-BE"/>
        </w:rPr>
        <w:t>, édition 2016,n° 83</w:t>
      </w:r>
    </w:p>
  </w:footnote>
  <w:footnote w:id="3">
    <w:p w:rsidR="00F65952" w:rsidRPr="00344779" w:rsidRDefault="00F65952" w:rsidP="00344779">
      <w:pPr>
        <w:pStyle w:val="Notedebasdepage"/>
        <w:rPr>
          <w:lang w:val="fr-BE"/>
        </w:rPr>
      </w:pPr>
      <w:r>
        <w:rPr>
          <w:rStyle w:val="Appelnotedebasdep"/>
        </w:rPr>
        <w:footnoteRef/>
      </w:r>
      <w:r w:rsidRPr="00344779">
        <w:rPr>
          <w:lang w:val="fr-BE"/>
        </w:rPr>
        <w:t xml:space="preserve"> C.T. Liège, division Liège, Chambre S, 10.02.2020, RG 2020/CL/2</w:t>
      </w:r>
    </w:p>
    <w:p w:rsidR="00F65952" w:rsidRPr="00344779" w:rsidRDefault="00F65952" w:rsidP="00344779">
      <w:pPr>
        <w:pStyle w:val="Notedebasdepage"/>
        <w:rPr>
          <w:lang w:val="fr-BE"/>
        </w:rPr>
      </w:pPr>
    </w:p>
  </w:footnote>
  <w:footnote w:id="4">
    <w:p w:rsidR="00F65952" w:rsidRPr="00344779" w:rsidRDefault="00F65952" w:rsidP="00344779">
      <w:pPr>
        <w:pStyle w:val="Notedebasdepage"/>
        <w:rPr>
          <w:lang w:val="fr-BE"/>
        </w:rPr>
      </w:pPr>
      <w:r>
        <w:rPr>
          <w:rStyle w:val="Appelnotedebasdep"/>
        </w:rPr>
        <w:footnoteRef/>
      </w:r>
      <w:r w:rsidRPr="00344779">
        <w:rPr>
          <w:lang w:val="fr-BE"/>
        </w:rPr>
        <w:t xml:space="preserve"> Le Tribunal est l’auteur du soulignage de ce paragraphe.</w:t>
      </w:r>
    </w:p>
  </w:footnote>
  <w:footnote w:id="5">
    <w:p w:rsidR="00F65952" w:rsidRPr="00344779" w:rsidRDefault="00F65952" w:rsidP="00344779">
      <w:pPr>
        <w:pStyle w:val="Notedebasdepage"/>
        <w:rPr>
          <w:lang w:val="fr-BE"/>
        </w:rPr>
      </w:pPr>
      <w:r>
        <w:rPr>
          <w:rStyle w:val="Appelnotedebasdep"/>
        </w:rPr>
        <w:footnoteRef/>
      </w:r>
      <w:r w:rsidRPr="00344779">
        <w:rPr>
          <w:lang w:val="fr-BE"/>
        </w:rPr>
        <w:t xml:space="preserve"> Cet excellente synthèse met clairement à mal l’interprétation des mêmes dispositions défendue généralement par FEDASIL. </w:t>
      </w:r>
    </w:p>
  </w:footnote>
  <w:footnote w:id="6">
    <w:p w:rsidR="00F65952" w:rsidRPr="00344779" w:rsidRDefault="00F65952" w:rsidP="00344779">
      <w:pPr>
        <w:pStyle w:val="Notedebasdepage"/>
        <w:rPr>
          <w:lang w:val="fr-BE"/>
        </w:rPr>
      </w:pPr>
      <w:r>
        <w:rPr>
          <w:rStyle w:val="Appelnotedebasdep"/>
        </w:rPr>
        <w:footnoteRef/>
      </w:r>
      <w:r w:rsidRPr="00344779">
        <w:rPr>
          <w:lang w:val="fr-BE"/>
        </w:rPr>
        <w:t xml:space="preserve"> RG C 92/21 CJUE</w:t>
      </w:r>
    </w:p>
  </w:footnote>
  <w:footnote w:id="7">
    <w:p w:rsidR="00F65952" w:rsidRPr="008E0F95" w:rsidRDefault="00F65952" w:rsidP="00344779">
      <w:pPr>
        <w:spacing w:before="240" w:after="200" w:line="276" w:lineRule="auto"/>
        <w:jc w:val="both"/>
        <w:rPr>
          <w:rFonts w:ascii="Calibri" w:eastAsia="Calibri" w:hAnsi="Calibri" w:cs="Calibri"/>
          <w:sz w:val="20"/>
          <w:szCs w:val="20"/>
          <w:lang w:val="fr-BE"/>
        </w:rPr>
      </w:pPr>
      <w:r>
        <w:rPr>
          <w:rStyle w:val="Appelnotedebasdep"/>
        </w:rPr>
        <w:footnoteRef/>
      </w:r>
      <w:r w:rsidRPr="008E0F95">
        <w:rPr>
          <w:lang w:val="fr-BE"/>
        </w:rPr>
        <w:t xml:space="preserve"> </w:t>
      </w:r>
      <w:r w:rsidRPr="008E0F95">
        <w:rPr>
          <w:sz w:val="20"/>
          <w:szCs w:val="20"/>
          <w:lang w:val="fr-BE"/>
        </w:rPr>
        <w:t xml:space="preserve">Cependant </w:t>
      </w:r>
      <w:r w:rsidRPr="008E0F95">
        <w:rPr>
          <w:lang w:val="fr-BE"/>
        </w:rPr>
        <w:t>,</w:t>
      </w:r>
      <w:r w:rsidRPr="008E0F95">
        <w:rPr>
          <w:rFonts w:ascii="Calibri" w:eastAsia="Calibri" w:hAnsi="Calibri" w:cs="Calibri"/>
          <w:sz w:val="20"/>
          <w:szCs w:val="20"/>
          <w:lang w:val="fr-BE"/>
        </w:rPr>
        <w:t>force est de constater que tant le trajet de retour, que la collaboration avec l’Office des étrangers dans le cadre d’un trajet de retour sont prévus et encadrés par la loi du 12 janvier 2007 en ses articles 2, 6°, 12° et 13°, 6/1 , 31, 54, 58.</w:t>
      </w:r>
    </w:p>
    <w:p w:rsidR="00F65952" w:rsidRPr="00344779" w:rsidRDefault="00F65952" w:rsidP="00344779">
      <w:pPr>
        <w:pStyle w:val="Notedebasdepage"/>
        <w:rPr>
          <w:lang w:val="fr-BE"/>
        </w:rPr>
      </w:pPr>
    </w:p>
  </w:footnote>
  <w:footnote w:id="8">
    <w:p w:rsidR="00F65952" w:rsidRPr="00534735" w:rsidRDefault="00F65952" w:rsidP="00344779">
      <w:pPr>
        <w:pStyle w:val="Notedebasdepage"/>
        <w:rPr>
          <w:lang w:val="fr-BE"/>
        </w:rPr>
      </w:pPr>
      <w:r>
        <w:rPr>
          <w:rStyle w:val="Appelnotedebasdep"/>
        </w:rPr>
        <w:footnoteRef/>
      </w:r>
      <w:r w:rsidRPr="00534735">
        <w:rPr>
          <w:lang w:val="fr-BE"/>
        </w:rPr>
        <w:t xml:space="preserve"> Le tribunal y reviendra</w:t>
      </w:r>
      <w:r w:rsidR="00350C7A" w:rsidRPr="00534735">
        <w:rPr>
          <w:lang w:val="fr-BE"/>
        </w:rPr>
        <w:t>.</w:t>
      </w:r>
    </w:p>
  </w:footnote>
  <w:footnote w:id="9">
    <w:p w:rsidR="00F65952" w:rsidRPr="009F3559" w:rsidRDefault="00F65952" w:rsidP="00B94AE0">
      <w:pPr>
        <w:suppressAutoHyphens/>
        <w:autoSpaceDN w:val="0"/>
        <w:jc w:val="both"/>
        <w:textAlignment w:val="baseline"/>
        <w:rPr>
          <w:rFonts w:eastAsia="Arial" w:cstheme="minorHAnsi"/>
          <w:i/>
          <w:iCs/>
          <w:kern w:val="3"/>
          <w:sz w:val="18"/>
          <w:szCs w:val="18"/>
          <w:lang w:val="fr-BE" w:eastAsia="fr-BE"/>
        </w:rPr>
      </w:pPr>
      <w:r>
        <w:rPr>
          <w:rStyle w:val="Appelnotedebasdep"/>
        </w:rPr>
        <w:footnoteRef/>
      </w:r>
      <w:r w:rsidRPr="009F3559">
        <w:rPr>
          <w:lang w:val="fr-BE"/>
        </w:rPr>
        <w:t xml:space="preserve"> </w:t>
      </w:r>
      <w:r w:rsidRPr="009F3559">
        <w:rPr>
          <w:rFonts w:eastAsia="Arial" w:cstheme="minorHAnsi"/>
          <w:i/>
          <w:iCs/>
          <w:kern w:val="3"/>
          <w:sz w:val="18"/>
          <w:szCs w:val="18"/>
          <w:lang w:val="fr-BE" w:eastAsia="fr-BE"/>
        </w:rPr>
        <w:t>« Celui qui veut faire valoir une prétention en justice doit prouver les actes juridiques ou faits qui la fondent.</w:t>
      </w:r>
    </w:p>
    <w:p w:rsidR="00F65952" w:rsidRPr="009F3559" w:rsidRDefault="00F65952" w:rsidP="00B94AE0">
      <w:pPr>
        <w:suppressAutoHyphens/>
        <w:autoSpaceDN w:val="0"/>
        <w:jc w:val="both"/>
        <w:textAlignment w:val="baseline"/>
        <w:rPr>
          <w:rFonts w:eastAsia="Arial" w:cstheme="minorHAnsi"/>
          <w:i/>
          <w:iCs/>
          <w:kern w:val="3"/>
          <w:sz w:val="18"/>
          <w:szCs w:val="18"/>
          <w:lang w:val="fr-BE" w:eastAsia="fr-BE"/>
        </w:rPr>
      </w:pPr>
      <w:r w:rsidRPr="009F3559">
        <w:rPr>
          <w:rFonts w:eastAsia="Arial" w:cstheme="minorHAnsi"/>
          <w:i/>
          <w:iCs/>
          <w:kern w:val="3"/>
          <w:sz w:val="18"/>
          <w:szCs w:val="18"/>
          <w:lang w:val="fr-BE" w:eastAsia="fr-BE"/>
        </w:rPr>
        <w:t>Celui qui se prétend libéré doit prouver les actes juridiques ou faits qui soutiennent sa prétention.</w:t>
      </w:r>
    </w:p>
    <w:p w:rsidR="00F65952" w:rsidRPr="009F3559" w:rsidRDefault="00F65952" w:rsidP="00B94AE0">
      <w:pPr>
        <w:suppressAutoHyphens/>
        <w:autoSpaceDN w:val="0"/>
        <w:jc w:val="both"/>
        <w:textAlignment w:val="baseline"/>
        <w:rPr>
          <w:rFonts w:eastAsia="Arial" w:cstheme="minorHAnsi"/>
          <w:i/>
          <w:iCs/>
          <w:kern w:val="3"/>
          <w:sz w:val="18"/>
          <w:szCs w:val="18"/>
          <w:lang w:val="fr-BE" w:eastAsia="fr-BE"/>
        </w:rPr>
      </w:pPr>
      <w:r w:rsidRPr="009F3559">
        <w:rPr>
          <w:rFonts w:eastAsia="Arial" w:cstheme="minorHAnsi"/>
          <w:i/>
          <w:iCs/>
          <w:kern w:val="3"/>
          <w:sz w:val="18"/>
          <w:szCs w:val="18"/>
          <w:lang w:val="fr-BE" w:eastAsia="fr-BE"/>
        </w:rPr>
        <w:t>Toutes les parties doivent collaborer à l'administration de la preuve.</w:t>
      </w:r>
    </w:p>
    <w:p w:rsidR="00F65952" w:rsidRPr="00A2597E" w:rsidRDefault="00F65952" w:rsidP="00A2597E">
      <w:pPr>
        <w:suppressAutoHyphens/>
        <w:autoSpaceDN w:val="0"/>
        <w:jc w:val="both"/>
        <w:textAlignment w:val="baseline"/>
        <w:rPr>
          <w:rFonts w:eastAsia="Arial" w:cstheme="minorHAnsi"/>
          <w:i/>
          <w:iCs/>
          <w:kern w:val="3"/>
          <w:sz w:val="18"/>
          <w:szCs w:val="18"/>
          <w:lang w:val="fr-BE" w:eastAsia="fr-BE"/>
        </w:rPr>
      </w:pPr>
      <w:r w:rsidRPr="009F3559">
        <w:rPr>
          <w:rFonts w:eastAsia="Arial" w:cstheme="minorHAnsi"/>
          <w:i/>
          <w:iCs/>
          <w:kern w:val="3"/>
          <w:sz w:val="18"/>
          <w:szCs w:val="18"/>
          <w:lang w:val="fr-BE" w:eastAsia="fr-BE"/>
        </w:rPr>
        <w:t>En cas de doute, celui qui a la charge de prouver les actes juridiques ou faits allégués par lui succombe au procès, sauf si la loi en dispose autrement. »</w:t>
      </w:r>
    </w:p>
  </w:footnote>
  <w:footnote w:id="10">
    <w:p w:rsidR="00F65952" w:rsidRPr="00B94AE0" w:rsidRDefault="00F65952" w:rsidP="00B94AE0">
      <w:pPr>
        <w:pStyle w:val="Notedebasdepage"/>
        <w:rPr>
          <w:lang w:val="fr-BE"/>
        </w:rPr>
      </w:pPr>
      <w:r>
        <w:rPr>
          <w:rStyle w:val="Appelnotedebasdep"/>
        </w:rPr>
        <w:footnoteRef/>
      </w:r>
      <w:r w:rsidRPr="00B94AE0">
        <w:rPr>
          <w:lang w:val="fr-BE"/>
        </w:rPr>
        <w:t xml:space="preserve"> la notion « d’assignation à résidence » ne serait pas encore effective, et serait toujours au stade des discussions préparatoires, avant sa concrétisation éventuelle future.</w:t>
      </w:r>
    </w:p>
  </w:footnote>
  <w:footnote w:id="11">
    <w:p w:rsidR="00F65952" w:rsidRPr="00534735" w:rsidRDefault="00F65952" w:rsidP="00B94AE0">
      <w:pPr>
        <w:pStyle w:val="Notedebasdepage"/>
        <w:rPr>
          <w:lang w:val="fr-BE"/>
        </w:rPr>
      </w:pPr>
      <w:r>
        <w:rPr>
          <w:rStyle w:val="Appelnotedebasdep"/>
        </w:rPr>
        <w:footnoteRef/>
      </w:r>
      <w:r w:rsidRPr="00534735">
        <w:rPr>
          <w:lang w:val="fr-BE"/>
        </w:rPr>
        <w:t xml:space="preserve"> TT Lg, division Namur, 28.01.2022, RG 22/841/a</w:t>
      </w:r>
    </w:p>
  </w:footnote>
  <w:footnote w:id="12">
    <w:p w:rsidR="00F65952" w:rsidRPr="00B94AE0" w:rsidRDefault="00F65952" w:rsidP="00B94AE0">
      <w:pPr>
        <w:pStyle w:val="Notedebasdepage"/>
        <w:rPr>
          <w:lang w:val="fr-BE"/>
        </w:rPr>
      </w:pPr>
      <w:r>
        <w:rPr>
          <w:rStyle w:val="Appelnotedebasdep"/>
        </w:rPr>
        <w:footnoteRef/>
      </w:r>
      <w:r w:rsidR="003A74E0">
        <w:rPr>
          <w:lang w:val="fr-BE"/>
        </w:rPr>
        <w:t xml:space="preserve"> Et le T</w:t>
      </w:r>
      <w:r w:rsidRPr="00B94AE0">
        <w:rPr>
          <w:lang w:val="fr-BE"/>
        </w:rPr>
        <w:t>ribunal répète qu’il serait heureux de disposer de statistiques à cet égard.</w:t>
      </w:r>
    </w:p>
  </w:footnote>
  <w:footnote w:id="13">
    <w:p w:rsidR="00F65952" w:rsidRPr="00B94AE0" w:rsidRDefault="00F65952" w:rsidP="00B94AE0">
      <w:pPr>
        <w:pStyle w:val="Notedebasdepage"/>
        <w:rPr>
          <w:lang w:val="fr-BE"/>
        </w:rPr>
      </w:pPr>
      <w:r>
        <w:rPr>
          <w:rStyle w:val="Appelnotedebasdep"/>
        </w:rPr>
        <w:footnoteRef/>
      </w:r>
      <w:r w:rsidRPr="00B94AE0">
        <w:rPr>
          <w:lang w:val="fr-BE"/>
        </w:rPr>
        <w:t xml:space="preserve"> Guide pratique, titre II, p. n°5</w:t>
      </w:r>
    </w:p>
  </w:footnote>
  <w:footnote w:id="14">
    <w:p w:rsidR="00F65952" w:rsidRPr="00B94AE0" w:rsidRDefault="00F65952" w:rsidP="00B94AE0">
      <w:pPr>
        <w:pStyle w:val="Notedebasdepage"/>
        <w:rPr>
          <w:lang w:val="fr-BE"/>
        </w:rPr>
      </w:pPr>
      <w:r>
        <w:rPr>
          <w:rStyle w:val="Appelnotedebasdep"/>
        </w:rPr>
        <w:footnoteRef/>
      </w:r>
      <w:r w:rsidRPr="00B94AE0">
        <w:rPr>
          <w:lang w:val="fr-BE"/>
        </w:rPr>
        <w:t xml:space="preserve"> Le Tribunal est l’auteur des soulignages.</w:t>
      </w:r>
    </w:p>
  </w:footnote>
  <w:footnote w:id="15">
    <w:p w:rsidR="00F65952" w:rsidRPr="00B94AE0" w:rsidRDefault="00F65952" w:rsidP="00B94AE0">
      <w:pPr>
        <w:pStyle w:val="Notedebasdepage"/>
        <w:rPr>
          <w:lang w:val="fr-BE"/>
        </w:rPr>
      </w:pPr>
      <w:r>
        <w:rPr>
          <w:rStyle w:val="Appelnotedebasdep"/>
        </w:rPr>
        <w:footnoteRef/>
      </w:r>
      <w:r w:rsidRPr="00B94AE0">
        <w:rPr>
          <w:lang w:val="fr-BE"/>
        </w:rPr>
        <w:t xml:space="preserve"> RG C 505-2021, Ordonnance du 16.12.2021</w:t>
      </w:r>
    </w:p>
  </w:footnote>
  <w:footnote w:id="16">
    <w:p w:rsidR="00F65952" w:rsidRPr="00B94AE0" w:rsidRDefault="00F65952" w:rsidP="00B94AE0">
      <w:pPr>
        <w:pStyle w:val="Notedebasdepage"/>
        <w:rPr>
          <w:lang w:val="fr-BE"/>
        </w:rPr>
      </w:pPr>
      <w:r>
        <w:rPr>
          <w:rStyle w:val="Appelnotedebasdep"/>
        </w:rPr>
        <w:footnoteRef/>
      </w:r>
      <w:r w:rsidRPr="00B94AE0">
        <w:rPr>
          <w:lang w:val="fr-BE"/>
        </w:rPr>
        <w:t xml:space="preserve"> Et le Tribunal reviendra sur les conditions de déroulement de cet entretien.</w:t>
      </w:r>
    </w:p>
  </w:footnote>
  <w:footnote w:id="17">
    <w:p w:rsidR="00F65952" w:rsidRPr="00B94AE0" w:rsidRDefault="00F65952" w:rsidP="00B94AE0">
      <w:pPr>
        <w:pStyle w:val="Notedebasdepage"/>
        <w:rPr>
          <w:lang w:val="fr-BE"/>
        </w:rPr>
      </w:pPr>
      <w:r>
        <w:rPr>
          <w:rStyle w:val="Appelnotedebasdep"/>
        </w:rPr>
        <w:footnoteRef/>
      </w:r>
      <w:r w:rsidRPr="00B94AE0">
        <w:rPr>
          <w:lang w:val="fr-BE"/>
        </w:rPr>
        <w:t xml:space="preserve"> Soit celui de Mouscron, correspondant à celui visé par la décision contestée ( qui a fait l’objet d’une large publicité dans plusieurs revues spécialisées).</w:t>
      </w:r>
    </w:p>
  </w:footnote>
  <w:footnote w:id="18">
    <w:p w:rsidR="00F65952" w:rsidRPr="00B94AE0" w:rsidRDefault="00F65952" w:rsidP="00B94AE0">
      <w:pPr>
        <w:pStyle w:val="Notedebasdepage"/>
        <w:rPr>
          <w:lang w:val="fr-BE"/>
        </w:rPr>
      </w:pPr>
      <w:r>
        <w:rPr>
          <w:rStyle w:val="Appelnotedebasdep"/>
        </w:rPr>
        <w:footnoteRef/>
      </w:r>
      <w:r w:rsidRPr="00B94AE0">
        <w:rPr>
          <w:lang w:val="fr-BE"/>
        </w:rPr>
        <w:t xml:space="preserve"> C.T. Liège, division Namur, 25.02.2021, RG 21/CN/1</w:t>
      </w:r>
    </w:p>
  </w:footnote>
  <w:footnote w:id="19">
    <w:p w:rsidR="00F65952" w:rsidRPr="00B94AE0" w:rsidRDefault="00F65952" w:rsidP="00B94AE0">
      <w:pPr>
        <w:pStyle w:val="Notedebasdepage"/>
        <w:rPr>
          <w:lang w:val="fr-BE"/>
        </w:rPr>
      </w:pPr>
      <w:r>
        <w:rPr>
          <w:rStyle w:val="Appelnotedebasdep"/>
        </w:rPr>
        <w:footnoteRef/>
      </w:r>
      <w:r w:rsidRPr="00B94AE0">
        <w:rPr>
          <w:lang w:val="fr-BE"/>
        </w:rPr>
        <w:t xml:space="preserve"> Sous réserve de l’intervention de la police, sur demande de l’O.E., avec la collaboration de la direction du centre.</w:t>
      </w:r>
    </w:p>
  </w:footnote>
  <w:footnote w:id="20">
    <w:p w:rsidR="00F65952" w:rsidRPr="00B94AE0" w:rsidRDefault="00F65952" w:rsidP="00B94AE0">
      <w:pPr>
        <w:pStyle w:val="Notedebasdepage"/>
        <w:rPr>
          <w:lang w:val="fr-BE"/>
        </w:rPr>
      </w:pPr>
      <w:r>
        <w:rPr>
          <w:rStyle w:val="Appelnotedebasdep"/>
        </w:rPr>
        <w:footnoteRef/>
      </w:r>
      <w:r w:rsidRPr="00B94AE0">
        <w:rPr>
          <w:lang w:val="fr-BE"/>
        </w:rPr>
        <w:t xml:space="preserve"> Qui trouve son origine dans plusieurs dispositions de la loi du 12.01.2007 </w:t>
      </w:r>
    </w:p>
  </w:footnote>
  <w:footnote w:id="21">
    <w:p w:rsidR="00F65952" w:rsidRPr="00B94AE0" w:rsidRDefault="00F65952" w:rsidP="00B94AE0">
      <w:pPr>
        <w:pStyle w:val="Notedebasdepage"/>
        <w:rPr>
          <w:lang w:val="fr-BE"/>
        </w:rPr>
      </w:pPr>
      <w:r>
        <w:rPr>
          <w:rStyle w:val="Appelnotedebasdep"/>
        </w:rPr>
        <w:footnoteRef/>
      </w:r>
      <w:r w:rsidRPr="00B94AE0">
        <w:rPr>
          <w:lang w:val="fr-BE"/>
        </w:rPr>
        <w:t xml:space="preserve"> Et la discussion d’une telle loi actuellement au Parlement prouve bien que les visites domiciliaires ne sont pas (encore ?) autorisées, actuellement.  </w:t>
      </w:r>
    </w:p>
  </w:footnote>
  <w:footnote w:id="22">
    <w:p w:rsidR="00F65952" w:rsidRPr="00B94AE0" w:rsidRDefault="00F65952" w:rsidP="00B94AE0">
      <w:pPr>
        <w:pStyle w:val="Notedebasdepage"/>
        <w:rPr>
          <w:lang w:val="fr-BE"/>
        </w:rPr>
      </w:pPr>
      <w:r>
        <w:rPr>
          <w:rStyle w:val="Appelnotedebasdep"/>
        </w:rPr>
        <w:footnoteRef/>
      </w:r>
      <w:r w:rsidRPr="00B94AE0">
        <w:rPr>
          <w:lang w:val="fr-BE"/>
        </w:rPr>
        <w:t xml:space="preserve">  Revue « ACCENT », septembre 1997,page n°3</w:t>
      </w:r>
    </w:p>
  </w:footnote>
  <w:footnote w:id="23">
    <w:p w:rsidR="00F65952" w:rsidRPr="00B94AE0" w:rsidRDefault="00F65952" w:rsidP="00B94AE0">
      <w:pPr>
        <w:pStyle w:val="Notedebasdepage"/>
        <w:rPr>
          <w:lang w:val="fr-BE"/>
        </w:rPr>
      </w:pPr>
      <w:r>
        <w:rPr>
          <w:rStyle w:val="Appelnotedebasdep"/>
        </w:rPr>
        <w:footnoteRef/>
      </w:r>
      <w:r w:rsidRPr="00B94AE0">
        <w:rPr>
          <w:lang w:val="fr-BE"/>
        </w:rPr>
        <w:t xml:space="preserve"> Arrêt N.H. vs France, 02.07.2020, </w:t>
      </w:r>
      <w:proofErr w:type="spellStart"/>
      <w:r w:rsidRPr="00B94AE0">
        <w:rPr>
          <w:lang w:val="fr-BE"/>
        </w:rPr>
        <w:t>Req</w:t>
      </w:r>
      <w:proofErr w:type="spellEnd"/>
      <w:r w:rsidRPr="00B94AE0">
        <w:rPr>
          <w:lang w:val="fr-BE"/>
        </w:rPr>
        <w:t>. N°28820/13 et suivantes.</w:t>
      </w:r>
    </w:p>
  </w:footnote>
  <w:footnote w:id="24">
    <w:p w:rsidR="00F65952" w:rsidRPr="00B94AE0" w:rsidRDefault="00F65952" w:rsidP="00B94AE0">
      <w:pPr>
        <w:pStyle w:val="Notedebasdepage"/>
        <w:rPr>
          <w:lang w:val="fr-BE"/>
        </w:rPr>
      </w:pPr>
      <w:r>
        <w:rPr>
          <w:rStyle w:val="Appelnotedebasdep"/>
        </w:rPr>
        <w:footnoteRef/>
      </w:r>
      <w:r w:rsidRPr="00B94AE0">
        <w:rPr>
          <w:lang w:val="fr-BE"/>
        </w:rPr>
        <w:t xml:space="preserve"> C.E.D.H. SAADI vs Italie ( 2008).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52" w:rsidRPr="005D0C33" w:rsidRDefault="00F65952" w:rsidP="002A7558">
    <w:pPr>
      <w:tabs>
        <w:tab w:val="right" w:pos="7920"/>
      </w:tabs>
      <w:suppressAutoHyphens/>
      <w:jc w:val="both"/>
      <w:rPr>
        <w:rFonts w:ascii="Palatino Linotype" w:hAnsi="Palatino Linotype" w:cstheme="minorHAnsi"/>
        <w:spacing w:val="-3"/>
        <w:sz w:val="20"/>
        <w:szCs w:val="20"/>
        <w:lang w:val="fr-FR"/>
      </w:rPr>
    </w:pPr>
    <w:r>
      <w:rPr>
        <w:rFonts w:ascii="Palatino Linotype" w:hAnsi="Palatino Linotype" w:cstheme="minorHAnsi"/>
        <w:b/>
        <w:bCs/>
        <w:spacing w:val="-3"/>
        <w:sz w:val="20"/>
        <w:szCs w:val="20"/>
        <w:bdr w:val="single" w:sz="4" w:space="0" w:color="auto" w:frame="1"/>
        <w:lang w:val="fr-FR"/>
      </w:rPr>
      <w:t>RG 22</w:t>
    </w:r>
    <w:r w:rsidRPr="005D0C33">
      <w:rPr>
        <w:rFonts w:ascii="Palatino Linotype" w:hAnsi="Palatino Linotype" w:cstheme="minorHAnsi"/>
        <w:b/>
        <w:bCs/>
        <w:spacing w:val="-3"/>
        <w:sz w:val="20"/>
        <w:szCs w:val="20"/>
        <w:bdr w:val="single" w:sz="4" w:space="0" w:color="auto" w:frame="1"/>
        <w:lang w:val="fr-FR"/>
      </w:rPr>
      <w:t>/</w:t>
    </w:r>
    <w:r>
      <w:rPr>
        <w:rFonts w:ascii="Palatino Linotype" w:hAnsi="Palatino Linotype" w:cstheme="minorHAnsi"/>
        <w:b/>
        <w:bCs/>
        <w:spacing w:val="-3"/>
        <w:sz w:val="20"/>
        <w:szCs w:val="20"/>
        <w:bdr w:val="single" w:sz="4" w:space="0" w:color="auto" w:frame="1"/>
        <w:lang w:val="fr-FR"/>
      </w:rPr>
      <w:t>5</w:t>
    </w:r>
    <w:r w:rsidRPr="005D0C33">
      <w:rPr>
        <w:rFonts w:ascii="Palatino Linotype" w:hAnsi="Palatino Linotype" w:cstheme="minorHAnsi"/>
        <w:b/>
        <w:bCs/>
        <w:spacing w:val="-3"/>
        <w:sz w:val="20"/>
        <w:szCs w:val="20"/>
        <w:bdr w:val="single" w:sz="4" w:space="0" w:color="auto" w:frame="1"/>
        <w:lang w:val="fr-FR"/>
      </w:rPr>
      <w:t xml:space="preserve">/C                                                        </w:t>
    </w:r>
    <w:r>
      <w:rPr>
        <w:rFonts w:ascii="Palatino Linotype" w:hAnsi="Palatino Linotype" w:cstheme="minorHAnsi"/>
        <w:b/>
        <w:bCs/>
        <w:spacing w:val="-3"/>
        <w:sz w:val="20"/>
        <w:szCs w:val="20"/>
        <w:bdr w:val="single" w:sz="4" w:space="0" w:color="auto" w:frame="1"/>
        <w:lang w:val="fr-FR"/>
      </w:rPr>
      <w:t xml:space="preserve">                      Ordonnance du</w:t>
    </w:r>
    <w:r w:rsidRPr="005D0C33">
      <w:rPr>
        <w:rFonts w:ascii="Palatino Linotype" w:hAnsi="Palatino Linotype" w:cstheme="minorHAnsi"/>
        <w:b/>
        <w:bCs/>
        <w:spacing w:val="-3"/>
        <w:sz w:val="20"/>
        <w:szCs w:val="20"/>
        <w:bdr w:val="single" w:sz="4" w:space="0" w:color="auto" w:frame="1"/>
        <w:lang w:val="fr-FR"/>
      </w:rPr>
      <w:t xml:space="preserve"> </w:t>
    </w:r>
    <w:r>
      <w:rPr>
        <w:rFonts w:ascii="Palatino Linotype" w:hAnsi="Palatino Linotype" w:cstheme="minorHAnsi"/>
        <w:b/>
        <w:bCs/>
        <w:spacing w:val="-3"/>
        <w:sz w:val="20"/>
        <w:szCs w:val="20"/>
        <w:bdr w:val="single" w:sz="4" w:space="0" w:color="auto" w:frame="1"/>
        <w:lang w:val="fr-FR"/>
      </w:rPr>
      <w:t>26 avril 2022</w:t>
    </w:r>
    <w:r w:rsidRPr="005D0C33">
      <w:rPr>
        <w:rFonts w:ascii="Palatino Linotype" w:hAnsi="Palatino Linotype" w:cstheme="minorHAnsi"/>
        <w:b/>
        <w:bCs/>
        <w:spacing w:val="-3"/>
        <w:sz w:val="20"/>
        <w:szCs w:val="20"/>
        <w:bdr w:val="single" w:sz="4" w:space="0" w:color="auto" w:frame="1"/>
        <w:lang w:val="fr-FR"/>
      </w:rPr>
      <w:tab/>
    </w:r>
  </w:p>
  <w:p w:rsidR="00F65952" w:rsidRPr="004875A7" w:rsidRDefault="00F65952" w:rsidP="003E0CBB">
    <w:pPr>
      <w:pStyle w:val="En-tte"/>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C95F82"/>
    <w:multiLevelType w:val="singleLevel"/>
    <w:tmpl w:val="7FC63C6C"/>
    <w:lvl w:ilvl="0">
      <w:start w:val="1"/>
      <w:numFmt w:val="bullet"/>
      <w:lvlText w:val="-"/>
      <w:lvlJc w:val="left"/>
      <w:pPr>
        <w:tabs>
          <w:tab w:val="num" w:pos="1800"/>
        </w:tabs>
        <w:ind w:left="1800" w:hanging="360"/>
      </w:pPr>
      <w:rPr>
        <w:rFonts w:hint="default"/>
      </w:rPr>
    </w:lvl>
  </w:abstractNum>
  <w:abstractNum w:abstractNumId="1" w15:restartNumberingAfterBreak="1">
    <w:nsid w:val="04C4795F"/>
    <w:multiLevelType w:val="hybridMultilevel"/>
    <w:tmpl w:val="ED209A7E"/>
    <w:lvl w:ilvl="0" w:tplc="E4901472">
      <w:start w:val="1"/>
      <w:numFmt w:val="bullet"/>
      <w:lvlText w:val=""/>
      <w:lvlJc w:val="left"/>
      <w:pPr>
        <w:tabs>
          <w:tab w:val="num" w:pos="900"/>
        </w:tabs>
        <w:ind w:left="900" w:hanging="360"/>
      </w:pPr>
      <w:rPr>
        <w:rFonts w:ascii="Symbol" w:hAnsi="Symbol" w:hint="default"/>
      </w:rPr>
    </w:lvl>
    <w:lvl w:ilvl="1" w:tplc="AE22BB1A" w:tentative="1">
      <w:start w:val="1"/>
      <w:numFmt w:val="bullet"/>
      <w:lvlText w:val="o"/>
      <w:lvlJc w:val="left"/>
      <w:pPr>
        <w:tabs>
          <w:tab w:val="num" w:pos="1620"/>
        </w:tabs>
        <w:ind w:left="1620" w:hanging="360"/>
      </w:pPr>
      <w:rPr>
        <w:rFonts w:ascii="Courier New" w:hAnsi="Courier New" w:hint="default"/>
      </w:rPr>
    </w:lvl>
    <w:lvl w:ilvl="2" w:tplc="6734AA9A" w:tentative="1">
      <w:start w:val="1"/>
      <w:numFmt w:val="bullet"/>
      <w:lvlText w:val=""/>
      <w:lvlJc w:val="left"/>
      <w:pPr>
        <w:tabs>
          <w:tab w:val="num" w:pos="2340"/>
        </w:tabs>
        <w:ind w:left="2340" w:hanging="360"/>
      </w:pPr>
      <w:rPr>
        <w:rFonts w:ascii="Wingdings" w:hAnsi="Wingdings" w:hint="default"/>
      </w:rPr>
    </w:lvl>
    <w:lvl w:ilvl="3" w:tplc="8A9E534C" w:tentative="1">
      <w:start w:val="1"/>
      <w:numFmt w:val="bullet"/>
      <w:lvlText w:val=""/>
      <w:lvlJc w:val="left"/>
      <w:pPr>
        <w:tabs>
          <w:tab w:val="num" w:pos="3060"/>
        </w:tabs>
        <w:ind w:left="3060" w:hanging="360"/>
      </w:pPr>
      <w:rPr>
        <w:rFonts w:ascii="Symbol" w:hAnsi="Symbol" w:hint="default"/>
      </w:rPr>
    </w:lvl>
    <w:lvl w:ilvl="4" w:tplc="E8081BCA" w:tentative="1">
      <w:start w:val="1"/>
      <w:numFmt w:val="bullet"/>
      <w:lvlText w:val="o"/>
      <w:lvlJc w:val="left"/>
      <w:pPr>
        <w:tabs>
          <w:tab w:val="num" w:pos="3780"/>
        </w:tabs>
        <w:ind w:left="3780" w:hanging="360"/>
      </w:pPr>
      <w:rPr>
        <w:rFonts w:ascii="Courier New" w:hAnsi="Courier New" w:hint="default"/>
      </w:rPr>
    </w:lvl>
    <w:lvl w:ilvl="5" w:tplc="72DCCBD8" w:tentative="1">
      <w:start w:val="1"/>
      <w:numFmt w:val="bullet"/>
      <w:lvlText w:val=""/>
      <w:lvlJc w:val="left"/>
      <w:pPr>
        <w:tabs>
          <w:tab w:val="num" w:pos="4500"/>
        </w:tabs>
        <w:ind w:left="4500" w:hanging="360"/>
      </w:pPr>
      <w:rPr>
        <w:rFonts w:ascii="Wingdings" w:hAnsi="Wingdings" w:hint="default"/>
      </w:rPr>
    </w:lvl>
    <w:lvl w:ilvl="6" w:tplc="C6E4A498" w:tentative="1">
      <w:start w:val="1"/>
      <w:numFmt w:val="bullet"/>
      <w:lvlText w:val=""/>
      <w:lvlJc w:val="left"/>
      <w:pPr>
        <w:tabs>
          <w:tab w:val="num" w:pos="5220"/>
        </w:tabs>
        <w:ind w:left="5220" w:hanging="360"/>
      </w:pPr>
      <w:rPr>
        <w:rFonts w:ascii="Symbol" w:hAnsi="Symbol" w:hint="default"/>
      </w:rPr>
    </w:lvl>
    <w:lvl w:ilvl="7" w:tplc="DF7A0326" w:tentative="1">
      <w:start w:val="1"/>
      <w:numFmt w:val="bullet"/>
      <w:lvlText w:val="o"/>
      <w:lvlJc w:val="left"/>
      <w:pPr>
        <w:tabs>
          <w:tab w:val="num" w:pos="5940"/>
        </w:tabs>
        <w:ind w:left="5940" w:hanging="360"/>
      </w:pPr>
      <w:rPr>
        <w:rFonts w:ascii="Courier New" w:hAnsi="Courier New" w:hint="default"/>
      </w:rPr>
    </w:lvl>
    <w:lvl w:ilvl="8" w:tplc="18CA8080"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0BE04BF"/>
    <w:multiLevelType w:val="hybridMultilevel"/>
    <w:tmpl w:val="B290AE48"/>
    <w:lvl w:ilvl="0" w:tplc="53E853C8">
      <w:start w:val="2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1">
    <w:nsid w:val="131361D6"/>
    <w:multiLevelType w:val="hybridMultilevel"/>
    <w:tmpl w:val="50E24608"/>
    <w:lvl w:ilvl="0" w:tplc="E612F40E">
      <w:numFmt w:val="bullet"/>
      <w:lvlText w:val="-"/>
      <w:lvlJc w:val="left"/>
      <w:pPr>
        <w:tabs>
          <w:tab w:val="num" w:pos="1980"/>
        </w:tabs>
        <w:ind w:left="1980" w:hanging="360"/>
      </w:pPr>
      <w:rPr>
        <w:rFonts w:ascii="Times New Roman" w:eastAsia="Times New Roman" w:hAnsi="Times New Roman" w:cs="Times New Roman" w:hint="default"/>
      </w:rPr>
    </w:lvl>
    <w:lvl w:ilvl="1" w:tplc="6DB66806" w:tentative="1">
      <w:start w:val="1"/>
      <w:numFmt w:val="bullet"/>
      <w:lvlText w:val="o"/>
      <w:lvlJc w:val="left"/>
      <w:pPr>
        <w:tabs>
          <w:tab w:val="num" w:pos="2700"/>
        </w:tabs>
        <w:ind w:left="2700" w:hanging="360"/>
      </w:pPr>
      <w:rPr>
        <w:rFonts w:ascii="Courier New" w:hAnsi="Courier New" w:hint="default"/>
      </w:rPr>
    </w:lvl>
    <w:lvl w:ilvl="2" w:tplc="08040316" w:tentative="1">
      <w:start w:val="1"/>
      <w:numFmt w:val="bullet"/>
      <w:lvlText w:val=""/>
      <w:lvlJc w:val="left"/>
      <w:pPr>
        <w:tabs>
          <w:tab w:val="num" w:pos="3420"/>
        </w:tabs>
        <w:ind w:left="3420" w:hanging="360"/>
      </w:pPr>
      <w:rPr>
        <w:rFonts w:ascii="Wingdings" w:hAnsi="Wingdings" w:hint="default"/>
      </w:rPr>
    </w:lvl>
    <w:lvl w:ilvl="3" w:tplc="D93C5566" w:tentative="1">
      <w:start w:val="1"/>
      <w:numFmt w:val="bullet"/>
      <w:lvlText w:val=""/>
      <w:lvlJc w:val="left"/>
      <w:pPr>
        <w:tabs>
          <w:tab w:val="num" w:pos="4140"/>
        </w:tabs>
        <w:ind w:left="4140" w:hanging="360"/>
      </w:pPr>
      <w:rPr>
        <w:rFonts w:ascii="Symbol" w:hAnsi="Symbol" w:hint="default"/>
      </w:rPr>
    </w:lvl>
    <w:lvl w:ilvl="4" w:tplc="A102399C" w:tentative="1">
      <w:start w:val="1"/>
      <w:numFmt w:val="bullet"/>
      <w:lvlText w:val="o"/>
      <w:lvlJc w:val="left"/>
      <w:pPr>
        <w:tabs>
          <w:tab w:val="num" w:pos="4860"/>
        </w:tabs>
        <w:ind w:left="4860" w:hanging="360"/>
      </w:pPr>
      <w:rPr>
        <w:rFonts w:ascii="Courier New" w:hAnsi="Courier New" w:hint="default"/>
      </w:rPr>
    </w:lvl>
    <w:lvl w:ilvl="5" w:tplc="77F42A9A" w:tentative="1">
      <w:start w:val="1"/>
      <w:numFmt w:val="bullet"/>
      <w:lvlText w:val=""/>
      <w:lvlJc w:val="left"/>
      <w:pPr>
        <w:tabs>
          <w:tab w:val="num" w:pos="5580"/>
        </w:tabs>
        <w:ind w:left="5580" w:hanging="360"/>
      </w:pPr>
      <w:rPr>
        <w:rFonts w:ascii="Wingdings" w:hAnsi="Wingdings" w:hint="default"/>
      </w:rPr>
    </w:lvl>
    <w:lvl w:ilvl="6" w:tplc="C0FC33BC" w:tentative="1">
      <w:start w:val="1"/>
      <w:numFmt w:val="bullet"/>
      <w:lvlText w:val=""/>
      <w:lvlJc w:val="left"/>
      <w:pPr>
        <w:tabs>
          <w:tab w:val="num" w:pos="6300"/>
        </w:tabs>
        <w:ind w:left="6300" w:hanging="360"/>
      </w:pPr>
      <w:rPr>
        <w:rFonts w:ascii="Symbol" w:hAnsi="Symbol" w:hint="default"/>
      </w:rPr>
    </w:lvl>
    <w:lvl w:ilvl="7" w:tplc="24A2DFB2" w:tentative="1">
      <w:start w:val="1"/>
      <w:numFmt w:val="bullet"/>
      <w:lvlText w:val="o"/>
      <w:lvlJc w:val="left"/>
      <w:pPr>
        <w:tabs>
          <w:tab w:val="num" w:pos="7020"/>
        </w:tabs>
        <w:ind w:left="7020" w:hanging="360"/>
      </w:pPr>
      <w:rPr>
        <w:rFonts w:ascii="Courier New" w:hAnsi="Courier New" w:hint="default"/>
      </w:rPr>
    </w:lvl>
    <w:lvl w:ilvl="8" w:tplc="4CF244CE" w:tentative="1">
      <w:start w:val="1"/>
      <w:numFmt w:val="bullet"/>
      <w:lvlText w:val=""/>
      <w:lvlJc w:val="left"/>
      <w:pPr>
        <w:tabs>
          <w:tab w:val="num" w:pos="7740"/>
        </w:tabs>
        <w:ind w:left="7740" w:hanging="360"/>
      </w:pPr>
      <w:rPr>
        <w:rFonts w:ascii="Wingdings" w:hAnsi="Wingdings" w:hint="default"/>
      </w:rPr>
    </w:lvl>
  </w:abstractNum>
  <w:abstractNum w:abstractNumId="4" w15:restartNumberingAfterBreak="1">
    <w:nsid w:val="15C9683C"/>
    <w:multiLevelType w:val="hybridMultilevel"/>
    <w:tmpl w:val="F15E2658"/>
    <w:lvl w:ilvl="0" w:tplc="F6E2FFE0">
      <w:start w:val="1"/>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63E0927"/>
    <w:multiLevelType w:val="singleLevel"/>
    <w:tmpl w:val="92C05D62"/>
    <w:lvl w:ilvl="0">
      <w:start w:val="18"/>
      <w:numFmt w:val="bullet"/>
      <w:lvlText w:val="-"/>
      <w:lvlJc w:val="left"/>
      <w:pPr>
        <w:tabs>
          <w:tab w:val="num" w:pos="1080"/>
        </w:tabs>
        <w:ind w:left="1080" w:hanging="360"/>
      </w:pPr>
      <w:rPr>
        <w:rFonts w:hint="default"/>
      </w:rPr>
    </w:lvl>
  </w:abstractNum>
  <w:abstractNum w:abstractNumId="6" w15:restartNumberingAfterBreak="1">
    <w:nsid w:val="19562D1D"/>
    <w:multiLevelType w:val="hybridMultilevel"/>
    <w:tmpl w:val="C10A3B5C"/>
    <w:lvl w:ilvl="0" w:tplc="FBC09C38">
      <w:numFmt w:val="bullet"/>
      <w:lvlText w:val="-"/>
      <w:lvlJc w:val="left"/>
      <w:pPr>
        <w:tabs>
          <w:tab w:val="num" w:pos="2340"/>
        </w:tabs>
        <w:ind w:left="2340" w:hanging="360"/>
      </w:pPr>
      <w:rPr>
        <w:rFonts w:ascii="Times New Roman" w:eastAsia="Times New Roman" w:hAnsi="Times New Roman" w:cs="Times New Roman" w:hint="default"/>
      </w:rPr>
    </w:lvl>
    <w:lvl w:ilvl="1" w:tplc="B4300344" w:tentative="1">
      <w:start w:val="1"/>
      <w:numFmt w:val="bullet"/>
      <w:lvlText w:val="o"/>
      <w:lvlJc w:val="left"/>
      <w:pPr>
        <w:tabs>
          <w:tab w:val="num" w:pos="3060"/>
        </w:tabs>
        <w:ind w:left="3060" w:hanging="360"/>
      </w:pPr>
      <w:rPr>
        <w:rFonts w:ascii="Courier New" w:hAnsi="Courier New" w:hint="default"/>
      </w:rPr>
    </w:lvl>
    <w:lvl w:ilvl="2" w:tplc="950C7EC6" w:tentative="1">
      <w:start w:val="1"/>
      <w:numFmt w:val="bullet"/>
      <w:lvlText w:val=""/>
      <w:lvlJc w:val="left"/>
      <w:pPr>
        <w:tabs>
          <w:tab w:val="num" w:pos="3780"/>
        </w:tabs>
        <w:ind w:left="3780" w:hanging="360"/>
      </w:pPr>
      <w:rPr>
        <w:rFonts w:ascii="Wingdings" w:hAnsi="Wingdings" w:hint="default"/>
      </w:rPr>
    </w:lvl>
    <w:lvl w:ilvl="3" w:tplc="19009C44" w:tentative="1">
      <w:start w:val="1"/>
      <w:numFmt w:val="bullet"/>
      <w:lvlText w:val=""/>
      <w:lvlJc w:val="left"/>
      <w:pPr>
        <w:tabs>
          <w:tab w:val="num" w:pos="4500"/>
        </w:tabs>
        <w:ind w:left="4500" w:hanging="360"/>
      </w:pPr>
      <w:rPr>
        <w:rFonts w:ascii="Symbol" w:hAnsi="Symbol" w:hint="default"/>
      </w:rPr>
    </w:lvl>
    <w:lvl w:ilvl="4" w:tplc="74369C64" w:tentative="1">
      <w:start w:val="1"/>
      <w:numFmt w:val="bullet"/>
      <w:lvlText w:val="o"/>
      <w:lvlJc w:val="left"/>
      <w:pPr>
        <w:tabs>
          <w:tab w:val="num" w:pos="5220"/>
        </w:tabs>
        <w:ind w:left="5220" w:hanging="360"/>
      </w:pPr>
      <w:rPr>
        <w:rFonts w:ascii="Courier New" w:hAnsi="Courier New" w:hint="default"/>
      </w:rPr>
    </w:lvl>
    <w:lvl w:ilvl="5" w:tplc="30628640" w:tentative="1">
      <w:start w:val="1"/>
      <w:numFmt w:val="bullet"/>
      <w:lvlText w:val=""/>
      <w:lvlJc w:val="left"/>
      <w:pPr>
        <w:tabs>
          <w:tab w:val="num" w:pos="5940"/>
        </w:tabs>
        <w:ind w:left="5940" w:hanging="360"/>
      </w:pPr>
      <w:rPr>
        <w:rFonts w:ascii="Wingdings" w:hAnsi="Wingdings" w:hint="default"/>
      </w:rPr>
    </w:lvl>
    <w:lvl w:ilvl="6" w:tplc="B16C03C6" w:tentative="1">
      <w:start w:val="1"/>
      <w:numFmt w:val="bullet"/>
      <w:lvlText w:val=""/>
      <w:lvlJc w:val="left"/>
      <w:pPr>
        <w:tabs>
          <w:tab w:val="num" w:pos="6660"/>
        </w:tabs>
        <w:ind w:left="6660" w:hanging="360"/>
      </w:pPr>
      <w:rPr>
        <w:rFonts w:ascii="Symbol" w:hAnsi="Symbol" w:hint="default"/>
      </w:rPr>
    </w:lvl>
    <w:lvl w:ilvl="7" w:tplc="35D0B390" w:tentative="1">
      <w:start w:val="1"/>
      <w:numFmt w:val="bullet"/>
      <w:lvlText w:val="o"/>
      <w:lvlJc w:val="left"/>
      <w:pPr>
        <w:tabs>
          <w:tab w:val="num" w:pos="7380"/>
        </w:tabs>
        <w:ind w:left="7380" w:hanging="360"/>
      </w:pPr>
      <w:rPr>
        <w:rFonts w:ascii="Courier New" w:hAnsi="Courier New" w:hint="default"/>
      </w:rPr>
    </w:lvl>
    <w:lvl w:ilvl="8" w:tplc="3A10D5DA"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1">
    <w:nsid w:val="1E241546"/>
    <w:multiLevelType w:val="singleLevel"/>
    <w:tmpl w:val="9E86E80A"/>
    <w:lvl w:ilvl="0">
      <w:numFmt w:val="bullet"/>
      <w:lvlText w:val="-"/>
      <w:lvlJc w:val="left"/>
      <w:pPr>
        <w:tabs>
          <w:tab w:val="num" w:pos="1800"/>
        </w:tabs>
        <w:ind w:left="1800" w:hanging="360"/>
      </w:pPr>
      <w:rPr>
        <w:rFonts w:hint="default"/>
      </w:rPr>
    </w:lvl>
  </w:abstractNum>
  <w:abstractNum w:abstractNumId="8" w15:restartNumberingAfterBreak="1">
    <w:nsid w:val="2A1C3FAB"/>
    <w:multiLevelType w:val="hybridMultilevel"/>
    <w:tmpl w:val="9F949E5C"/>
    <w:lvl w:ilvl="0" w:tplc="679C4738">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1">
    <w:nsid w:val="2AF3778D"/>
    <w:multiLevelType w:val="hybridMultilevel"/>
    <w:tmpl w:val="D8DE46E2"/>
    <w:lvl w:ilvl="0" w:tplc="296A12B6">
      <w:start w:val="1"/>
      <w:numFmt w:val="decimal"/>
      <w:lvlText w:val="%1."/>
      <w:lvlJc w:val="left"/>
      <w:pPr>
        <w:tabs>
          <w:tab w:val="num" w:pos="720"/>
        </w:tabs>
        <w:ind w:left="720" w:hanging="360"/>
      </w:pPr>
      <w:rPr>
        <w:rFonts w:hint="default"/>
      </w:rPr>
    </w:lvl>
    <w:lvl w:ilvl="1" w:tplc="2294FC1E" w:tentative="1">
      <w:start w:val="1"/>
      <w:numFmt w:val="lowerLetter"/>
      <w:lvlText w:val="%2."/>
      <w:lvlJc w:val="left"/>
      <w:pPr>
        <w:tabs>
          <w:tab w:val="num" w:pos="1440"/>
        </w:tabs>
        <w:ind w:left="1440" w:hanging="360"/>
      </w:pPr>
    </w:lvl>
    <w:lvl w:ilvl="2" w:tplc="9EEEA7EC" w:tentative="1">
      <w:start w:val="1"/>
      <w:numFmt w:val="lowerRoman"/>
      <w:lvlText w:val="%3."/>
      <w:lvlJc w:val="right"/>
      <w:pPr>
        <w:tabs>
          <w:tab w:val="num" w:pos="2160"/>
        </w:tabs>
        <w:ind w:left="2160" w:hanging="180"/>
      </w:pPr>
    </w:lvl>
    <w:lvl w:ilvl="3" w:tplc="84620F00" w:tentative="1">
      <w:start w:val="1"/>
      <w:numFmt w:val="decimal"/>
      <w:lvlText w:val="%4."/>
      <w:lvlJc w:val="left"/>
      <w:pPr>
        <w:tabs>
          <w:tab w:val="num" w:pos="2880"/>
        </w:tabs>
        <w:ind w:left="2880" w:hanging="360"/>
      </w:pPr>
    </w:lvl>
    <w:lvl w:ilvl="4" w:tplc="BAA26D30" w:tentative="1">
      <w:start w:val="1"/>
      <w:numFmt w:val="lowerLetter"/>
      <w:lvlText w:val="%5."/>
      <w:lvlJc w:val="left"/>
      <w:pPr>
        <w:tabs>
          <w:tab w:val="num" w:pos="3600"/>
        </w:tabs>
        <w:ind w:left="3600" w:hanging="360"/>
      </w:pPr>
    </w:lvl>
    <w:lvl w:ilvl="5" w:tplc="38E2B076" w:tentative="1">
      <w:start w:val="1"/>
      <w:numFmt w:val="lowerRoman"/>
      <w:lvlText w:val="%6."/>
      <w:lvlJc w:val="right"/>
      <w:pPr>
        <w:tabs>
          <w:tab w:val="num" w:pos="4320"/>
        </w:tabs>
        <w:ind w:left="4320" w:hanging="180"/>
      </w:pPr>
    </w:lvl>
    <w:lvl w:ilvl="6" w:tplc="3A8C6DAA" w:tentative="1">
      <w:start w:val="1"/>
      <w:numFmt w:val="decimal"/>
      <w:lvlText w:val="%7."/>
      <w:lvlJc w:val="left"/>
      <w:pPr>
        <w:tabs>
          <w:tab w:val="num" w:pos="5040"/>
        </w:tabs>
        <w:ind w:left="5040" w:hanging="360"/>
      </w:pPr>
    </w:lvl>
    <w:lvl w:ilvl="7" w:tplc="A0020B50" w:tentative="1">
      <w:start w:val="1"/>
      <w:numFmt w:val="lowerLetter"/>
      <w:lvlText w:val="%8."/>
      <w:lvlJc w:val="left"/>
      <w:pPr>
        <w:tabs>
          <w:tab w:val="num" w:pos="5760"/>
        </w:tabs>
        <w:ind w:left="5760" w:hanging="360"/>
      </w:pPr>
    </w:lvl>
    <w:lvl w:ilvl="8" w:tplc="5196793C" w:tentative="1">
      <w:start w:val="1"/>
      <w:numFmt w:val="lowerRoman"/>
      <w:lvlText w:val="%9."/>
      <w:lvlJc w:val="right"/>
      <w:pPr>
        <w:tabs>
          <w:tab w:val="num" w:pos="6480"/>
        </w:tabs>
        <w:ind w:left="6480" w:hanging="180"/>
      </w:pPr>
    </w:lvl>
  </w:abstractNum>
  <w:abstractNum w:abstractNumId="10" w15:restartNumberingAfterBreak="0">
    <w:nsid w:val="2B6632BC"/>
    <w:multiLevelType w:val="hybridMultilevel"/>
    <w:tmpl w:val="0B2281B8"/>
    <w:lvl w:ilvl="0" w:tplc="44586256">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0851237"/>
    <w:multiLevelType w:val="hybridMultilevel"/>
    <w:tmpl w:val="05D045A8"/>
    <w:lvl w:ilvl="0" w:tplc="C42AFB12">
      <w:start w:val="1"/>
      <w:numFmt w:val="bullet"/>
      <w:lvlText w:val=""/>
      <w:lvlJc w:val="left"/>
      <w:pPr>
        <w:tabs>
          <w:tab w:val="num" w:pos="1620"/>
        </w:tabs>
        <w:ind w:left="1620" w:hanging="360"/>
      </w:pPr>
      <w:rPr>
        <w:rFonts w:ascii="Wingdings" w:hAnsi="Wingdings" w:hint="default"/>
        <w:sz w:val="16"/>
      </w:rPr>
    </w:lvl>
    <w:lvl w:ilvl="1" w:tplc="8B305656" w:tentative="1">
      <w:start w:val="1"/>
      <w:numFmt w:val="bullet"/>
      <w:lvlText w:val="o"/>
      <w:lvlJc w:val="left"/>
      <w:pPr>
        <w:tabs>
          <w:tab w:val="num" w:pos="2340"/>
        </w:tabs>
        <w:ind w:left="2340" w:hanging="360"/>
      </w:pPr>
      <w:rPr>
        <w:rFonts w:ascii="Courier New" w:hAnsi="Courier New" w:hint="default"/>
      </w:rPr>
    </w:lvl>
    <w:lvl w:ilvl="2" w:tplc="9116946C" w:tentative="1">
      <w:start w:val="1"/>
      <w:numFmt w:val="bullet"/>
      <w:lvlText w:val=""/>
      <w:lvlJc w:val="left"/>
      <w:pPr>
        <w:tabs>
          <w:tab w:val="num" w:pos="3060"/>
        </w:tabs>
        <w:ind w:left="3060" w:hanging="360"/>
      </w:pPr>
      <w:rPr>
        <w:rFonts w:ascii="Wingdings" w:hAnsi="Wingdings" w:hint="default"/>
      </w:rPr>
    </w:lvl>
    <w:lvl w:ilvl="3" w:tplc="7FCAFF0A" w:tentative="1">
      <w:start w:val="1"/>
      <w:numFmt w:val="bullet"/>
      <w:lvlText w:val=""/>
      <w:lvlJc w:val="left"/>
      <w:pPr>
        <w:tabs>
          <w:tab w:val="num" w:pos="3780"/>
        </w:tabs>
        <w:ind w:left="3780" w:hanging="360"/>
      </w:pPr>
      <w:rPr>
        <w:rFonts w:ascii="Symbol" w:hAnsi="Symbol" w:hint="default"/>
      </w:rPr>
    </w:lvl>
    <w:lvl w:ilvl="4" w:tplc="EE721B30" w:tentative="1">
      <w:start w:val="1"/>
      <w:numFmt w:val="bullet"/>
      <w:lvlText w:val="o"/>
      <w:lvlJc w:val="left"/>
      <w:pPr>
        <w:tabs>
          <w:tab w:val="num" w:pos="4500"/>
        </w:tabs>
        <w:ind w:left="4500" w:hanging="360"/>
      </w:pPr>
      <w:rPr>
        <w:rFonts w:ascii="Courier New" w:hAnsi="Courier New" w:hint="default"/>
      </w:rPr>
    </w:lvl>
    <w:lvl w:ilvl="5" w:tplc="5AD29F80" w:tentative="1">
      <w:start w:val="1"/>
      <w:numFmt w:val="bullet"/>
      <w:lvlText w:val=""/>
      <w:lvlJc w:val="left"/>
      <w:pPr>
        <w:tabs>
          <w:tab w:val="num" w:pos="5220"/>
        </w:tabs>
        <w:ind w:left="5220" w:hanging="360"/>
      </w:pPr>
      <w:rPr>
        <w:rFonts w:ascii="Wingdings" w:hAnsi="Wingdings" w:hint="default"/>
      </w:rPr>
    </w:lvl>
    <w:lvl w:ilvl="6" w:tplc="816C98CC" w:tentative="1">
      <w:start w:val="1"/>
      <w:numFmt w:val="bullet"/>
      <w:lvlText w:val=""/>
      <w:lvlJc w:val="left"/>
      <w:pPr>
        <w:tabs>
          <w:tab w:val="num" w:pos="5940"/>
        </w:tabs>
        <w:ind w:left="5940" w:hanging="360"/>
      </w:pPr>
      <w:rPr>
        <w:rFonts w:ascii="Symbol" w:hAnsi="Symbol" w:hint="default"/>
      </w:rPr>
    </w:lvl>
    <w:lvl w:ilvl="7" w:tplc="586809FA" w:tentative="1">
      <w:start w:val="1"/>
      <w:numFmt w:val="bullet"/>
      <w:lvlText w:val="o"/>
      <w:lvlJc w:val="left"/>
      <w:pPr>
        <w:tabs>
          <w:tab w:val="num" w:pos="6660"/>
        </w:tabs>
        <w:ind w:left="6660" w:hanging="360"/>
      </w:pPr>
      <w:rPr>
        <w:rFonts w:ascii="Courier New" w:hAnsi="Courier New" w:hint="default"/>
      </w:rPr>
    </w:lvl>
    <w:lvl w:ilvl="8" w:tplc="070464C8"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3197284B"/>
    <w:multiLevelType w:val="hybridMultilevel"/>
    <w:tmpl w:val="7C6A72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E5122"/>
    <w:multiLevelType w:val="hybridMultilevel"/>
    <w:tmpl w:val="2BE2DB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1">
    <w:nsid w:val="323C565E"/>
    <w:multiLevelType w:val="singleLevel"/>
    <w:tmpl w:val="3B50E34C"/>
    <w:lvl w:ilvl="0">
      <w:start w:val="1"/>
      <w:numFmt w:val="lowerLetter"/>
      <w:lvlText w:val="%1."/>
      <w:lvlJc w:val="left"/>
      <w:pPr>
        <w:tabs>
          <w:tab w:val="num" w:pos="1800"/>
        </w:tabs>
        <w:ind w:left="1800" w:hanging="360"/>
      </w:pPr>
      <w:rPr>
        <w:rFonts w:hint="default"/>
      </w:rPr>
    </w:lvl>
  </w:abstractNum>
  <w:abstractNum w:abstractNumId="15" w15:restartNumberingAfterBreak="1">
    <w:nsid w:val="348B71A9"/>
    <w:multiLevelType w:val="hybridMultilevel"/>
    <w:tmpl w:val="4DB45C42"/>
    <w:lvl w:ilvl="0" w:tplc="2B8C0D2E">
      <w:start w:val="2"/>
      <w:numFmt w:val="lowerLetter"/>
      <w:lvlText w:val="%1)"/>
      <w:lvlJc w:val="left"/>
      <w:pPr>
        <w:tabs>
          <w:tab w:val="num" w:pos="720"/>
        </w:tabs>
        <w:ind w:left="720" w:hanging="540"/>
      </w:pPr>
      <w:rPr>
        <w:rFonts w:hint="default"/>
      </w:rPr>
    </w:lvl>
    <w:lvl w:ilvl="1" w:tplc="0FDE0990" w:tentative="1">
      <w:start w:val="1"/>
      <w:numFmt w:val="lowerLetter"/>
      <w:lvlText w:val="%2."/>
      <w:lvlJc w:val="left"/>
      <w:pPr>
        <w:tabs>
          <w:tab w:val="num" w:pos="1260"/>
        </w:tabs>
        <w:ind w:left="1260" w:hanging="360"/>
      </w:pPr>
    </w:lvl>
    <w:lvl w:ilvl="2" w:tplc="5364BC6A" w:tentative="1">
      <w:start w:val="1"/>
      <w:numFmt w:val="lowerRoman"/>
      <w:lvlText w:val="%3."/>
      <w:lvlJc w:val="right"/>
      <w:pPr>
        <w:tabs>
          <w:tab w:val="num" w:pos="1980"/>
        </w:tabs>
        <w:ind w:left="1980" w:hanging="180"/>
      </w:pPr>
    </w:lvl>
    <w:lvl w:ilvl="3" w:tplc="A7CCD264" w:tentative="1">
      <w:start w:val="1"/>
      <w:numFmt w:val="decimal"/>
      <w:lvlText w:val="%4."/>
      <w:lvlJc w:val="left"/>
      <w:pPr>
        <w:tabs>
          <w:tab w:val="num" w:pos="2700"/>
        </w:tabs>
        <w:ind w:left="2700" w:hanging="360"/>
      </w:pPr>
    </w:lvl>
    <w:lvl w:ilvl="4" w:tplc="CBFACD88" w:tentative="1">
      <w:start w:val="1"/>
      <w:numFmt w:val="lowerLetter"/>
      <w:lvlText w:val="%5."/>
      <w:lvlJc w:val="left"/>
      <w:pPr>
        <w:tabs>
          <w:tab w:val="num" w:pos="3420"/>
        </w:tabs>
        <w:ind w:left="3420" w:hanging="360"/>
      </w:pPr>
    </w:lvl>
    <w:lvl w:ilvl="5" w:tplc="6D2815FC" w:tentative="1">
      <w:start w:val="1"/>
      <w:numFmt w:val="lowerRoman"/>
      <w:lvlText w:val="%6."/>
      <w:lvlJc w:val="right"/>
      <w:pPr>
        <w:tabs>
          <w:tab w:val="num" w:pos="4140"/>
        </w:tabs>
        <w:ind w:left="4140" w:hanging="180"/>
      </w:pPr>
    </w:lvl>
    <w:lvl w:ilvl="6" w:tplc="E9CCC4A4" w:tentative="1">
      <w:start w:val="1"/>
      <w:numFmt w:val="decimal"/>
      <w:lvlText w:val="%7."/>
      <w:lvlJc w:val="left"/>
      <w:pPr>
        <w:tabs>
          <w:tab w:val="num" w:pos="4860"/>
        </w:tabs>
        <w:ind w:left="4860" w:hanging="360"/>
      </w:pPr>
    </w:lvl>
    <w:lvl w:ilvl="7" w:tplc="47840962" w:tentative="1">
      <w:start w:val="1"/>
      <w:numFmt w:val="lowerLetter"/>
      <w:lvlText w:val="%8."/>
      <w:lvlJc w:val="left"/>
      <w:pPr>
        <w:tabs>
          <w:tab w:val="num" w:pos="5580"/>
        </w:tabs>
        <w:ind w:left="5580" w:hanging="360"/>
      </w:pPr>
    </w:lvl>
    <w:lvl w:ilvl="8" w:tplc="66D8F24E" w:tentative="1">
      <w:start w:val="1"/>
      <w:numFmt w:val="lowerRoman"/>
      <w:lvlText w:val="%9."/>
      <w:lvlJc w:val="right"/>
      <w:pPr>
        <w:tabs>
          <w:tab w:val="num" w:pos="6300"/>
        </w:tabs>
        <w:ind w:left="6300" w:hanging="180"/>
      </w:pPr>
    </w:lvl>
  </w:abstractNum>
  <w:abstractNum w:abstractNumId="16" w15:restartNumberingAfterBreak="0">
    <w:nsid w:val="3B061313"/>
    <w:multiLevelType w:val="hybridMultilevel"/>
    <w:tmpl w:val="7C6A72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1">
    <w:nsid w:val="4AE152B7"/>
    <w:multiLevelType w:val="hybridMultilevel"/>
    <w:tmpl w:val="E00E232C"/>
    <w:lvl w:ilvl="0" w:tplc="3AEC00D0">
      <w:start w:val="1"/>
      <w:numFmt w:val="decimal"/>
      <w:lvlText w:val="%1."/>
      <w:lvlJc w:val="left"/>
      <w:pPr>
        <w:tabs>
          <w:tab w:val="num" w:pos="540"/>
        </w:tabs>
        <w:ind w:left="540" w:hanging="360"/>
      </w:pPr>
      <w:rPr>
        <w:rFonts w:hint="default"/>
      </w:rPr>
    </w:lvl>
    <w:lvl w:ilvl="1" w:tplc="6C626738">
      <w:start w:val="1"/>
      <w:numFmt w:val="upperLetter"/>
      <w:lvlText w:val="%2)"/>
      <w:lvlJc w:val="left"/>
      <w:pPr>
        <w:tabs>
          <w:tab w:val="num" w:pos="1800"/>
        </w:tabs>
        <w:ind w:left="1800" w:hanging="900"/>
      </w:pPr>
      <w:rPr>
        <w:rFonts w:hint="default"/>
      </w:rPr>
    </w:lvl>
    <w:lvl w:ilvl="2" w:tplc="6DA84296">
      <w:start w:val="18"/>
      <w:numFmt w:val="bullet"/>
      <w:lvlText w:val="-"/>
      <w:lvlJc w:val="left"/>
      <w:pPr>
        <w:tabs>
          <w:tab w:val="num" w:pos="2160"/>
        </w:tabs>
        <w:ind w:left="2160" w:hanging="360"/>
      </w:pPr>
      <w:rPr>
        <w:rFonts w:ascii="Times New Roman" w:eastAsia="Times New Roman" w:hAnsi="Times New Roman" w:cs="Times New Roman" w:hint="default"/>
      </w:rPr>
    </w:lvl>
    <w:lvl w:ilvl="3" w:tplc="FF146CEC">
      <w:start w:val="1"/>
      <w:numFmt w:val="lowerLetter"/>
      <w:lvlText w:val="%4)"/>
      <w:lvlJc w:val="left"/>
      <w:pPr>
        <w:tabs>
          <w:tab w:val="num" w:pos="3060"/>
        </w:tabs>
        <w:ind w:left="3060" w:hanging="720"/>
      </w:pPr>
      <w:rPr>
        <w:rFonts w:hint="default"/>
      </w:rPr>
    </w:lvl>
    <w:lvl w:ilvl="4" w:tplc="2E6669B4" w:tentative="1">
      <w:start w:val="1"/>
      <w:numFmt w:val="lowerLetter"/>
      <w:lvlText w:val="%5."/>
      <w:lvlJc w:val="left"/>
      <w:pPr>
        <w:tabs>
          <w:tab w:val="num" w:pos="3420"/>
        </w:tabs>
        <w:ind w:left="3420" w:hanging="360"/>
      </w:pPr>
    </w:lvl>
    <w:lvl w:ilvl="5" w:tplc="79949AC4" w:tentative="1">
      <w:start w:val="1"/>
      <w:numFmt w:val="lowerRoman"/>
      <w:lvlText w:val="%6."/>
      <w:lvlJc w:val="right"/>
      <w:pPr>
        <w:tabs>
          <w:tab w:val="num" w:pos="4140"/>
        </w:tabs>
        <w:ind w:left="4140" w:hanging="180"/>
      </w:pPr>
    </w:lvl>
    <w:lvl w:ilvl="6" w:tplc="DA347464" w:tentative="1">
      <w:start w:val="1"/>
      <w:numFmt w:val="decimal"/>
      <w:lvlText w:val="%7."/>
      <w:lvlJc w:val="left"/>
      <w:pPr>
        <w:tabs>
          <w:tab w:val="num" w:pos="4860"/>
        </w:tabs>
        <w:ind w:left="4860" w:hanging="360"/>
      </w:pPr>
    </w:lvl>
    <w:lvl w:ilvl="7" w:tplc="84DEB2CA" w:tentative="1">
      <w:start w:val="1"/>
      <w:numFmt w:val="lowerLetter"/>
      <w:lvlText w:val="%8."/>
      <w:lvlJc w:val="left"/>
      <w:pPr>
        <w:tabs>
          <w:tab w:val="num" w:pos="5580"/>
        </w:tabs>
        <w:ind w:left="5580" w:hanging="360"/>
      </w:pPr>
    </w:lvl>
    <w:lvl w:ilvl="8" w:tplc="869C86BA" w:tentative="1">
      <w:start w:val="1"/>
      <w:numFmt w:val="lowerRoman"/>
      <w:lvlText w:val="%9."/>
      <w:lvlJc w:val="right"/>
      <w:pPr>
        <w:tabs>
          <w:tab w:val="num" w:pos="6300"/>
        </w:tabs>
        <w:ind w:left="6300" w:hanging="180"/>
      </w:pPr>
    </w:lvl>
  </w:abstractNum>
  <w:abstractNum w:abstractNumId="18" w15:restartNumberingAfterBreak="1">
    <w:nsid w:val="4B831FD4"/>
    <w:multiLevelType w:val="hybridMultilevel"/>
    <w:tmpl w:val="9FF638F6"/>
    <w:lvl w:ilvl="0" w:tplc="62A26A2A">
      <w:start w:val="1"/>
      <w:numFmt w:val="bullet"/>
      <w:lvlText w:val=""/>
      <w:lvlJc w:val="left"/>
      <w:pPr>
        <w:tabs>
          <w:tab w:val="num" w:pos="960"/>
        </w:tabs>
        <w:ind w:left="960" w:hanging="360"/>
      </w:pPr>
      <w:rPr>
        <w:rFonts w:ascii="Symbol" w:hAnsi="Symbol" w:hint="default"/>
      </w:rPr>
    </w:lvl>
    <w:lvl w:ilvl="1" w:tplc="4AA64E5E">
      <w:start w:val="3"/>
      <w:numFmt w:val="bullet"/>
      <w:lvlText w:val="-"/>
      <w:lvlJc w:val="left"/>
      <w:pPr>
        <w:tabs>
          <w:tab w:val="num" w:pos="1860"/>
        </w:tabs>
        <w:ind w:left="1860" w:hanging="540"/>
      </w:pPr>
      <w:rPr>
        <w:rFonts w:ascii="Times New Roman" w:eastAsia="Times New Roman" w:hAnsi="Times New Roman" w:cs="Times New Roman" w:hint="default"/>
      </w:rPr>
    </w:lvl>
    <w:lvl w:ilvl="2" w:tplc="CB3C661C" w:tentative="1">
      <w:start w:val="1"/>
      <w:numFmt w:val="bullet"/>
      <w:lvlText w:val=""/>
      <w:lvlJc w:val="left"/>
      <w:pPr>
        <w:tabs>
          <w:tab w:val="num" w:pos="2400"/>
        </w:tabs>
        <w:ind w:left="2400" w:hanging="360"/>
      </w:pPr>
      <w:rPr>
        <w:rFonts w:ascii="Wingdings" w:hAnsi="Wingdings" w:hint="default"/>
      </w:rPr>
    </w:lvl>
    <w:lvl w:ilvl="3" w:tplc="D71852DC" w:tentative="1">
      <w:start w:val="1"/>
      <w:numFmt w:val="bullet"/>
      <w:lvlText w:val=""/>
      <w:lvlJc w:val="left"/>
      <w:pPr>
        <w:tabs>
          <w:tab w:val="num" w:pos="3120"/>
        </w:tabs>
        <w:ind w:left="3120" w:hanging="360"/>
      </w:pPr>
      <w:rPr>
        <w:rFonts w:ascii="Symbol" w:hAnsi="Symbol" w:hint="default"/>
      </w:rPr>
    </w:lvl>
    <w:lvl w:ilvl="4" w:tplc="2734429A" w:tentative="1">
      <w:start w:val="1"/>
      <w:numFmt w:val="bullet"/>
      <w:lvlText w:val="o"/>
      <w:lvlJc w:val="left"/>
      <w:pPr>
        <w:tabs>
          <w:tab w:val="num" w:pos="3840"/>
        </w:tabs>
        <w:ind w:left="3840" w:hanging="360"/>
      </w:pPr>
      <w:rPr>
        <w:rFonts w:ascii="Courier New" w:hAnsi="Courier New" w:hint="default"/>
      </w:rPr>
    </w:lvl>
    <w:lvl w:ilvl="5" w:tplc="96047C9C" w:tentative="1">
      <w:start w:val="1"/>
      <w:numFmt w:val="bullet"/>
      <w:lvlText w:val=""/>
      <w:lvlJc w:val="left"/>
      <w:pPr>
        <w:tabs>
          <w:tab w:val="num" w:pos="4560"/>
        </w:tabs>
        <w:ind w:left="4560" w:hanging="360"/>
      </w:pPr>
      <w:rPr>
        <w:rFonts w:ascii="Wingdings" w:hAnsi="Wingdings" w:hint="default"/>
      </w:rPr>
    </w:lvl>
    <w:lvl w:ilvl="6" w:tplc="0F0ECC54" w:tentative="1">
      <w:start w:val="1"/>
      <w:numFmt w:val="bullet"/>
      <w:lvlText w:val=""/>
      <w:lvlJc w:val="left"/>
      <w:pPr>
        <w:tabs>
          <w:tab w:val="num" w:pos="5280"/>
        </w:tabs>
        <w:ind w:left="5280" w:hanging="360"/>
      </w:pPr>
      <w:rPr>
        <w:rFonts w:ascii="Symbol" w:hAnsi="Symbol" w:hint="default"/>
      </w:rPr>
    </w:lvl>
    <w:lvl w:ilvl="7" w:tplc="29085D1C" w:tentative="1">
      <w:start w:val="1"/>
      <w:numFmt w:val="bullet"/>
      <w:lvlText w:val="o"/>
      <w:lvlJc w:val="left"/>
      <w:pPr>
        <w:tabs>
          <w:tab w:val="num" w:pos="6000"/>
        </w:tabs>
        <w:ind w:left="6000" w:hanging="360"/>
      </w:pPr>
      <w:rPr>
        <w:rFonts w:ascii="Courier New" w:hAnsi="Courier New" w:hint="default"/>
      </w:rPr>
    </w:lvl>
    <w:lvl w:ilvl="8" w:tplc="79842DA6" w:tentative="1">
      <w:start w:val="1"/>
      <w:numFmt w:val="bullet"/>
      <w:lvlText w:val=""/>
      <w:lvlJc w:val="left"/>
      <w:pPr>
        <w:tabs>
          <w:tab w:val="num" w:pos="6720"/>
        </w:tabs>
        <w:ind w:left="6720" w:hanging="360"/>
      </w:pPr>
      <w:rPr>
        <w:rFonts w:ascii="Wingdings" w:hAnsi="Wingdings" w:hint="default"/>
      </w:rPr>
    </w:lvl>
  </w:abstractNum>
  <w:abstractNum w:abstractNumId="19" w15:restartNumberingAfterBreak="1">
    <w:nsid w:val="50685E38"/>
    <w:multiLevelType w:val="hybridMultilevel"/>
    <w:tmpl w:val="CE96E2A6"/>
    <w:lvl w:ilvl="0" w:tplc="06DA5786">
      <w:start w:val="1"/>
      <w:numFmt w:val="decimal"/>
      <w:lvlText w:val="%1."/>
      <w:lvlJc w:val="left"/>
      <w:pPr>
        <w:tabs>
          <w:tab w:val="num" w:pos="960"/>
        </w:tabs>
        <w:ind w:left="960" w:hanging="360"/>
      </w:pPr>
    </w:lvl>
    <w:lvl w:ilvl="1" w:tplc="3FFE8032" w:tentative="1">
      <w:start w:val="1"/>
      <w:numFmt w:val="lowerLetter"/>
      <w:lvlText w:val="%2."/>
      <w:lvlJc w:val="left"/>
      <w:pPr>
        <w:tabs>
          <w:tab w:val="num" w:pos="1680"/>
        </w:tabs>
        <w:ind w:left="1680" w:hanging="360"/>
      </w:pPr>
    </w:lvl>
    <w:lvl w:ilvl="2" w:tplc="8806C6D8" w:tentative="1">
      <w:start w:val="1"/>
      <w:numFmt w:val="lowerRoman"/>
      <w:lvlText w:val="%3."/>
      <w:lvlJc w:val="right"/>
      <w:pPr>
        <w:tabs>
          <w:tab w:val="num" w:pos="2400"/>
        </w:tabs>
        <w:ind w:left="2400" w:hanging="180"/>
      </w:pPr>
    </w:lvl>
    <w:lvl w:ilvl="3" w:tplc="CCF4491C" w:tentative="1">
      <w:start w:val="1"/>
      <w:numFmt w:val="decimal"/>
      <w:lvlText w:val="%4."/>
      <w:lvlJc w:val="left"/>
      <w:pPr>
        <w:tabs>
          <w:tab w:val="num" w:pos="3120"/>
        </w:tabs>
        <w:ind w:left="3120" w:hanging="360"/>
      </w:pPr>
    </w:lvl>
    <w:lvl w:ilvl="4" w:tplc="4252A888" w:tentative="1">
      <w:start w:val="1"/>
      <w:numFmt w:val="lowerLetter"/>
      <w:lvlText w:val="%5."/>
      <w:lvlJc w:val="left"/>
      <w:pPr>
        <w:tabs>
          <w:tab w:val="num" w:pos="3840"/>
        </w:tabs>
        <w:ind w:left="3840" w:hanging="360"/>
      </w:pPr>
    </w:lvl>
    <w:lvl w:ilvl="5" w:tplc="F614212A" w:tentative="1">
      <w:start w:val="1"/>
      <w:numFmt w:val="lowerRoman"/>
      <w:lvlText w:val="%6."/>
      <w:lvlJc w:val="right"/>
      <w:pPr>
        <w:tabs>
          <w:tab w:val="num" w:pos="4560"/>
        </w:tabs>
        <w:ind w:left="4560" w:hanging="180"/>
      </w:pPr>
    </w:lvl>
    <w:lvl w:ilvl="6" w:tplc="8B522F5C" w:tentative="1">
      <w:start w:val="1"/>
      <w:numFmt w:val="decimal"/>
      <w:lvlText w:val="%7."/>
      <w:lvlJc w:val="left"/>
      <w:pPr>
        <w:tabs>
          <w:tab w:val="num" w:pos="5280"/>
        </w:tabs>
        <w:ind w:left="5280" w:hanging="360"/>
      </w:pPr>
    </w:lvl>
    <w:lvl w:ilvl="7" w:tplc="669E5304" w:tentative="1">
      <w:start w:val="1"/>
      <w:numFmt w:val="lowerLetter"/>
      <w:lvlText w:val="%8."/>
      <w:lvlJc w:val="left"/>
      <w:pPr>
        <w:tabs>
          <w:tab w:val="num" w:pos="6000"/>
        </w:tabs>
        <w:ind w:left="6000" w:hanging="360"/>
      </w:pPr>
    </w:lvl>
    <w:lvl w:ilvl="8" w:tplc="212E23BC" w:tentative="1">
      <w:start w:val="1"/>
      <w:numFmt w:val="lowerRoman"/>
      <w:lvlText w:val="%9."/>
      <w:lvlJc w:val="right"/>
      <w:pPr>
        <w:tabs>
          <w:tab w:val="num" w:pos="6720"/>
        </w:tabs>
        <w:ind w:left="6720" w:hanging="180"/>
      </w:pPr>
    </w:lvl>
  </w:abstractNum>
  <w:abstractNum w:abstractNumId="20" w15:restartNumberingAfterBreak="1">
    <w:nsid w:val="53256C48"/>
    <w:multiLevelType w:val="singleLevel"/>
    <w:tmpl w:val="A24A89A2"/>
    <w:lvl w:ilvl="0">
      <w:numFmt w:val="bullet"/>
      <w:lvlText w:val="-"/>
      <w:lvlJc w:val="left"/>
      <w:pPr>
        <w:tabs>
          <w:tab w:val="num" w:pos="1800"/>
        </w:tabs>
        <w:ind w:left="1800" w:hanging="360"/>
      </w:pPr>
      <w:rPr>
        <w:rFonts w:hint="default"/>
      </w:rPr>
    </w:lvl>
  </w:abstractNum>
  <w:abstractNum w:abstractNumId="21" w15:restartNumberingAfterBreak="1">
    <w:nsid w:val="575F2CF8"/>
    <w:multiLevelType w:val="hybridMultilevel"/>
    <w:tmpl w:val="1632D768"/>
    <w:lvl w:ilvl="0" w:tplc="2BAE0DCC">
      <w:start w:val="1"/>
      <w:numFmt w:val="decimal"/>
      <w:lvlText w:val="%1)"/>
      <w:lvlJc w:val="left"/>
      <w:pPr>
        <w:tabs>
          <w:tab w:val="num" w:pos="1800"/>
        </w:tabs>
        <w:ind w:left="1800" w:hanging="360"/>
      </w:pPr>
      <w:rPr>
        <w:rFonts w:hint="default"/>
        <w:b w:val="0"/>
      </w:rPr>
    </w:lvl>
    <w:lvl w:ilvl="1" w:tplc="9B14CDA8" w:tentative="1">
      <w:start w:val="1"/>
      <w:numFmt w:val="lowerLetter"/>
      <w:lvlText w:val="%2."/>
      <w:lvlJc w:val="left"/>
      <w:pPr>
        <w:tabs>
          <w:tab w:val="num" w:pos="2520"/>
        </w:tabs>
        <w:ind w:left="2520" w:hanging="360"/>
      </w:pPr>
    </w:lvl>
    <w:lvl w:ilvl="2" w:tplc="2E1E7AD6" w:tentative="1">
      <w:start w:val="1"/>
      <w:numFmt w:val="lowerRoman"/>
      <w:lvlText w:val="%3."/>
      <w:lvlJc w:val="right"/>
      <w:pPr>
        <w:tabs>
          <w:tab w:val="num" w:pos="3240"/>
        </w:tabs>
        <w:ind w:left="3240" w:hanging="180"/>
      </w:pPr>
    </w:lvl>
    <w:lvl w:ilvl="3" w:tplc="FC8C33DC" w:tentative="1">
      <w:start w:val="1"/>
      <w:numFmt w:val="decimal"/>
      <w:lvlText w:val="%4."/>
      <w:lvlJc w:val="left"/>
      <w:pPr>
        <w:tabs>
          <w:tab w:val="num" w:pos="3960"/>
        </w:tabs>
        <w:ind w:left="3960" w:hanging="360"/>
      </w:pPr>
    </w:lvl>
    <w:lvl w:ilvl="4" w:tplc="0884FE00" w:tentative="1">
      <w:start w:val="1"/>
      <w:numFmt w:val="lowerLetter"/>
      <w:lvlText w:val="%5."/>
      <w:lvlJc w:val="left"/>
      <w:pPr>
        <w:tabs>
          <w:tab w:val="num" w:pos="4680"/>
        </w:tabs>
        <w:ind w:left="4680" w:hanging="360"/>
      </w:pPr>
    </w:lvl>
    <w:lvl w:ilvl="5" w:tplc="E498549E" w:tentative="1">
      <w:start w:val="1"/>
      <w:numFmt w:val="lowerRoman"/>
      <w:lvlText w:val="%6."/>
      <w:lvlJc w:val="right"/>
      <w:pPr>
        <w:tabs>
          <w:tab w:val="num" w:pos="5400"/>
        </w:tabs>
        <w:ind w:left="5400" w:hanging="180"/>
      </w:pPr>
    </w:lvl>
    <w:lvl w:ilvl="6" w:tplc="C540DEFC" w:tentative="1">
      <w:start w:val="1"/>
      <w:numFmt w:val="decimal"/>
      <w:lvlText w:val="%7."/>
      <w:lvlJc w:val="left"/>
      <w:pPr>
        <w:tabs>
          <w:tab w:val="num" w:pos="6120"/>
        </w:tabs>
        <w:ind w:left="6120" w:hanging="360"/>
      </w:pPr>
    </w:lvl>
    <w:lvl w:ilvl="7" w:tplc="14AA3480" w:tentative="1">
      <w:start w:val="1"/>
      <w:numFmt w:val="lowerLetter"/>
      <w:lvlText w:val="%8."/>
      <w:lvlJc w:val="left"/>
      <w:pPr>
        <w:tabs>
          <w:tab w:val="num" w:pos="6840"/>
        </w:tabs>
        <w:ind w:left="6840" w:hanging="360"/>
      </w:pPr>
    </w:lvl>
    <w:lvl w:ilvl="8" w:tplc="7E642022" w:tentative="1">
      <w:start w:val="1"/>
      <w:numFmt w:val="lowerRoman"/>
      <w:lvlText w:val="%9."/>
      <w:lvlJc w:val="right"/>
      <w:pPr>
        <w:tabs>
          <w:tab w:val="num" w:pos="7560"/>
        </w:tabs>
        <w:ind w:left="7560" w:hanging="180"/>
      </w:pPr>
    </w:lvl>
  </w:abstractNum>
  <w:abstractNum w:abstractNumId="22" w15:restartNumberingAfterBreak="1">
    <w:nsid w:val="5CF74310"/>
    <w:multiLevelType w:val="hybridMultilevel"/>
    <w:tmpl w:val="06566F8A"/>
    <w:lvl w:ilvl="0" w:tplc="10B0ADA8">
      <w:start w:val="1"/>
      <w:numFmt w:val="bullet"/>
      <w:lvlText w:val=""/>
      <w:lvlJc w:val="left"/>
      <w:pPr>
        <w:tabs>
          <w:tab w:val="num" w:pos="2160"/>
        </w:tabs>
        <w:ind w:left="2160" w:hanging="360"/>
      </w:pPr>
      <w:rPr>
        <w:rFonts w:ascii="Wingdings" w:hAnsi="Wingdings" w:hint="default"/>
        <w:sz w:val="16"/>
      </w:rPr>
    </w:lvl>
    <w:lvl w:ilvl="1" w:tplc="768A29CA" w:tentative="1">
      <w:start w:val="1"/>
      <w:numFmt w:val="bullet"/>
      <w:lvlText w:val="o"/>
      <w:lvlJc w:val="left"/>
      <w:pPr>
        <w:tabs>
          <w:tab w:val="num" w:pos="2880"/>
        </w:tabs>
        <w:ind w:left="2880" w:hanging="360"/>
      </w:pPr>
      <w:rPr>
        <w:rFonts w:ascii="Courier New" w:hAnsi="Courier New" w:hint="default"/>
      </w:rPr>
    </w:lvl>
    <w:lvl w:ilvl="2" w:tplc="8FD6AC5A" w:tentative="1">
      <w:start w:val="1"/>
      <w:numFmt w:val="bullet"/>
      <w:lvlText w:val=""/>
      <w:lvlJc w:val="left"/>
      <w:pPr>
        <w:tabs>
          <w:tab w:val="num" w:pos="3600"/>
        </w:tabs>
        <w:ind w:left="3600" w:hanging="360"/>
      </w:pPr>
      <w:rPr>
        <w:rFonts w:ascii="Wingdings" w:hAnsi="Wingdings" w:hint="default"/>
      </w:rPr>
    </w:lvl>
    <w:lvl w:ilvl="3" w:tplc="9C40BF84" w:tentative="1">
      <w:start w:val="1"/>
      <w:numFmt w:val="bullet"/>
      <w:lvlText w:val=""/>
      <w:lvlJc w:val="left"/>
      <w:pPr>
        <w:tabs>
          <w:tab w:val="num" w:pos="4320"/>
        </w:tabs>
        <w:ind w:left="4320" w:hanging="360"/>
      </w:pPr>
      <w:rPr>
        <w:rFonts w:ascii="Symbol" w:hAnsi="Symbol" w:hint="default"/>
      </w:rPr>
    </w:lvl>
    <w:lvl w:ilvl="4" w:tplc="BE44AE2A" w:tentative="1">
      <w:start w:val="1"/>
      <w:numFmt w:val="bullet"/>
      <w:lvlText w:val="o"/>
      <w:lvlJc w:val="left"/>
      <w:pPr>
        <w:tabs>
          <w:tab w:val="num" w:pos="5040"/>
        </w:tabs>
        <w:ind w:left="5040" w:hanging="360"/>
      </w:pPr>
      <w:rPr>
        <w:rFonts w:ascii="Courier New" w:hAnsi="Courier New" w:hint="default"/>
      </w:rPr>
    </w:lvl>
    <w:lvl w:ilvl="5" w:tplc="24181B96" w:tentative="1">
      <w:start w:val="1"/>
      <w:numFmt w:val="bullet"/>
      <w:lvlText w:val=""/>
      <w:lvlJc w:val="left"/>
      <w:pPr>
        <w:tabs>
          <w:tab w:val="num" w:pos="5760"/>
        </w:tabs>
        <w:ind w:left="5760" w:hanging="360"/>
      </w:pPr>
      <w:rPr>
        <w:rFonts w:ascii="Wingdings" w:hAnsi="Wingdings" w:hint="default"/>
      </w:rPr>
    </w:lvl>
    <w:lvl w:ilvl="6" w:tplc="BD94640C" w:tentative="1">
      <w:start w:val="1"/>
      <w:numFmt w:val="bullet"/>
      <w:lvlText w:val=""/>
      <w:lvlJc w:val="left"/>
      <w:pPr>
        <w:tabs>
          <w:tab w:val="num" w:pos="6480"/>
        </w:tabs>
        <w:ind w:left="6480" w:hanging="360"/>
      </w:pPr>
      <w:rPr>
        <w:rFonts w:ascii="Symbol" w:hAnsi="Symbol" w:hint="default"/>
      </w:rPr>
    </w:lvl>
    <w:lvl w:ilvl="7" w:tplc="B4CEBAD0" w:tentative="1">
      <w:start w:val="1"/>
      <w:numFmt w:val="bullet"/>
      <w:lvlText w:val="o"/>
      <w:lvlJc w:val="left"/>
      <w:pPr>
        <w:tabs>
          <w:tab w:val="num" w:pos="7200"/>
        </w:tabs>
        <w:ind w:left="7200" w:hanging="360"/>
      </w:pPr>
      <w:rPr>
        <w:rFonts w:ascii="Courier New" w:hAnsi="Courier New" w:hint="default"/>
      </w:rPr>
    </w:lvl>
    <w:lvl w:ilvl="8" w:tplc="5E0698CA"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1">
    <w:nsid w:val="5DA25BDB"/>
    <w:multiLevelType w:val="hybridMultilevel"/>
    <w:tmpl w:val="85047D9C"/>
    <w:lvl w:ilvl="0" w:tplc="2C26F906">
      <w:start w:val="4"/>
      <w:numFmt w:val="decimal"/>
      <w:lvlText w:val="%1."/>
      <w:lvlJc w:val="left"/>
      <w:pPr>
        <w:tabs>
          <w:tab w:val="num" w:pos="540"/>
        </w:tabs>
        <w:ind w:left="540" w:hanging="360"/>
      </w:pPr>
      <w:rPr>
        <w:rFonts w:hint="default"/>
        <w:b/>
      </w:rPr>
    </w:lvl>
    <w:lvl w:ilvl="1" w:tplc="212285DE" w:tentative="1">
      <w:start w:val="1"/>
      <w:numFmt w:val="lowerLetter"/>
      <w:lvlText w:val="%2."/>
      <w:lvlJc w:val="left"/>
      <w:pPr>
        <w:tabs>
          <w:tab w:val="num" w:pos="1260"/>
        </w:tabs>
        <w:ind w:left="1260" w:hanging="360"/>
      </w:pPr>
    </w:lvl>
    <w:lvl w:ilvl="2" w:tplc="127C68AE" w:tentative="1">
      <w:start w:val="1"/>
      <w:numFmt w:val="lowerRoman"/>
      <w:lvlText w:val="%3."/>
      <w:lvlJc w:val="right"/>
      <w:pPr>
        <w:tabs>
          <w:tab w:val="num" w:pos="1980"/>
        </w:tabs>
        <w:ind w:left="1980" w:hanging="180"/>
      </w:pPr>
    </w:lvl>
    <w:lvl w:ilvl="3" w:tplc="688658CC" w:tentative="1">
      <w:start w:val="1"/>
      <w:numFmt w:val="decimal"/>
      <w:lvlText w:val="%4."/>
      <w:lvlJc w:val="left"/>
      <w:pPr>
        <w:tabs>
          <w:tab w:val="num" w:pos="2700"/>
        </w:tabs>
        <w:ind w:left="2700" w:hanging="360"/>
      </w:pPr>
    </w:lvl>
    <w:lvl w:ilvl="4" w:tplc="F050BC34" w:tentative="1">
      <w:start w:val="1"/>
      <w:numFmt w:val="lowerLetter"/>
      <w:lvlText w:val="%5."/>
      <w:lvlJc w:val="left"/>
      <w:pPr>
        <w:tabs>
          <w:tab w:val="num" w:pos="3420"/>
        </w:tabs>
        <w:ind w:left="3420" w:hanging="360"/>
      </w:pPr>
    </w:lvl>
    <w:lvl w:ilvl="5" w:tplc="AF50118E" w:tentative="1">
      <w:start w:val="1"/>
      <w:numFmt w:val="lowerRoman"/>
      <w:lvlText w:val="%6."/>
      <w:lvlJc w:val="right"/>
      <w:pPr>
        <w:tabs>
          <w:tab w:val="num" w:pos="4140"/>
        </w:tabs>
        <w:ind w:left="4140" w:hanging="180"/>
      </w:pPr>
    </w:lvl>
    <w:lvl w:ilvl="6" w:tplc="D2409D10" w:tentative="1">
      <w:start w:val="1"/>
      <w:numFmt w:val="decimal"/>
      <w:lvlText w:val="%7."/>
      <w:lvlJc w:val="left"/>
      <w:pPr>
        <w:tabs>
          <w:tab w:val="num" w:pos="4860"/>
        </w:tabs>
        <w:ind w:left="4860" w:hanging="360"/>
      </w:pPr>
    </w:lvl>
    <w:lvl w:ilvl="7" w:tplc="FE409ED6" w:tentative="1">
      <w:start w:val="1"/>
      <w:numFmt w:val="lowerLetter"/>
      <w:lvlText w:val="%8."/>
      <w:lvlJc w:val="left"/>
      <w:pPr>
        <w:tabs>
          <w:tab w:val="num" w:pos="5580"/>
        </w:tabs>
        <w:ind w:left="5580" w:hanging="360"/>
      </w:pPr>
    </w:lvl>
    <w:lvl w:ilvl="8" w:tplc="1E82C036" w:tentative="1">
      <w:start w:val="1"/>
      <w:numFmt w:val="lowerRoman"/>
      <w:lvlText w:val="%9."/>
      <w:lvlJc w:val="right"/>
      <w:pPr>
        <w:tabs>
          <w:tab w:val="num" w:pos="6300"/>
        </w:tabs>
        <w:ind w:left="6300" w:hanging="180"/>
      </w:pPr>
    </w:lvl>
  </w:abstractNum>
  <w:abstractNum w:abstractNumId="24" w15:restartNumberingAfterBreak="1">
    <w:nsid w:val="635C1F9D"/>
    <w:multiLevelType w:val="hybridMultilevel"/>
    <w:tmpl w:val="6A46769A"/>
    <w:lvl w:ilvl="0" w:tplc="BA60A948">
      <w:start w:val="1"/>
      <w:numFmt w:val="lowerLetter"/>
      <w:lvlText w:val="%1)"/>
      <w:lvlJc w:val="left"/>
      <w:pPr>
        <w:tabs>
          <w:tab w:val="num" w:pos="540"/>
        </w:tabs>
        <w:ind w:left="540" w:hanging="360"/>
      </w:pPr>
      <w:rPr>
        <w:rFonts w:hint="default"/>
      </w:rPr>
    </w:lvl>
    <w:lvl w:ilvl="1" w:tplc="C8B07E14">
      <w:start w:val="1"/>
      <w:numFmt w:val="decimal"/>
      <w:lvlText w:val="%2."/>
      <w:lvlJc w:val="left"/>
      <w:pPr>
        <w:tabs>
          <w:tab w:val="num" w:pos="1260"/>
        </w:tabs>
        <w:ind w:left="1260" w:hanging="360"/>
      </w:pPr>
      <w:rPr>
        <w:rFonts w:hint="default"/>
        <w:u w:val="none"/>
      </w:rPr>
    </w:lvl>
    <w:lvl w:ilvl="2" w:tplc="55E0F2BE" w:tentative="1">
      <w:start w:val="1"/>
      <w:numFmt w:val="lowerRoman"/>
      <w:lvlText w:val="%3."/>
      <w:lvlJc w:val="right"/>
      <w:pPr>
        <w:tabs>
          <w:tab w:val="num" w:pos="1980"/>
        </w:tabs>
        <w:ind w:left="1980" w:hanging="180"/>
      </w:pPr>
    </w:lvl>
    <w:lvl w:ilvl="3" w:tplc="222C426E" w:tentative="1">
      <w:start w:val="1"/>
      <w:numFmt w:val="decimal"/>
      <w:lvlText w:val="%4."/>
      <w:lvlJc w:val="left"/>
      <w:pPr>
        <w:tabs>
          <w:tab w:val="num" w:pos="2700"/>
        </w:tabs>
        <w:ind w:left="2700" w:hanging="360"/>
      </w:pPr>
    </w:lvl>
    <w:lvl w:ilvl="4" w:tplc="EE14371A" w:tentative="1">
      <w:start w:val="1"/>
      <w:numFmt w:val="lowerLetter"/>
      <w:lvlText w:val="%5."/>
      <w:lvlJc w:val="left"/>
      <w:pPr>
        <w:tabs>
          <w:tab w:val="num" w:pos="3420"/>
        </w:tabs>
        <w:ind w:left="3420" w:hanging="360"/>
      </w:pPr>
    </w:lvl>
    <w:lvl w:ilvl="5" w:tplc="7160EC5E" w:tentative="1">
      <w:start w:val="1"/>
      <w:numFmt w:val="lowerRoman"/>
      <w:lvlText w:val="%6."/>
      <w:lvlJc w:val="right"/>
      <w:pPr>
        <w:tabs>
          <w:tab w:val="num" w:pos="4140"/>
        </w:tabs>
        <w:ind w:left="4140" w:hanging="180"/>
      </w:pPr>
    </w:lvl>
    <w:lvl w:ilvl="6" w:tplc="8396A724" w:tentative="1">
      <w:start w:val="1"/>
      <w:numFmt w:val="decimal"/>
      <w:lvlText w:val="%7."/>
      <w:lvlJc w:val="left"/>
      <w:pPr>
        <w:tabs>
          <w:tab w:val="num" w:pos="4860"/>
        </w:tabs>
        <w:ind w:left="4860" w:hanging="360"/>
      </w:pPr>
    </w:lvl>
    <w:lvl w:ilvl="7" w:tplc="8D30078C" w:tentative="1">
      <w:start w:val="1"/>
      <w:numFmt w:val="lowerLetter"/>
      <w:lvlText w:val="%8."/>
      <w:lvlJc w:val="left"/>
      <w:pPr>
        <w:tabs>
          <w:tab w:val="num" w:pos="5580"/>
        </w:tabs>
        <w:ind w:left="5580" w:hanging="360"/>
      </w:pPr>
    </w:lvl>
    <w:lvl w:ilvl="8" w:tplc="E9EC9EEA" w:tentative="1">
      <w:start w:val="1"/>
      <w:numFmt w:val="lowerRoman"/>
      <w:lvlText w:val="%9."/>
      <w:lvlJc w:val="right"/>
      <w:pPr>
        <w:tabs>
          <w:tab w:val="num" w:pos="6300"/>
        </w:tabs>
        <w:ind w:left="6300" w:hanging="180"/>
      </w:pPr>
    </w:lvl>
  </w:abstractNum>
  <w:abstractNum w:abstractNumId="25" w15:restartNumberingAfterBreak="1">
    <w:nsid w:val="63C951AA"/>
    <w:multiLevelType w:val="singleLevel"/>
    <w:tmpl w:val="52DE9B10"/>
    <w:lvl w:ilvl="0">
      <w:numFmt w:val="bullet"/>
      <w:lvlText w:val="-"/>
      <w:lvlJc w:val="left"/>
      <w:pPr>
        <w:tabs>
          <w:tab w:val="num" w:pos="1800"/>
        </w:tabs>
        <w:ind w:left="1800" w:hanging="360"/>
      </w:pPr>
      <w:rPr>
        <w:rFonts w:hint="default"/>
      </w:rPr>
    </w:lvl>
  </w:abstractNum>
  <w:abstractNum w:abstractNumId="26" w15:restartNumberingAfterBreak="1">
    <w:nsid w:val="682051F2"/>
    <w:multiLevelType w:val="hybridMultilevel"/>
    <w:tmpl w:val="CE063CB2"/>
    <w:lvl w:ilvl="0" w:tplc="BF40978A">
      <w:start w:val="18"/>
      <w:numFmt w:val="bullet"/>
      <w:lvlText w:val="-"/>
      <w:lvlJc w:val="left"/>
      <w:pPr>
        <w:tabs>
          <w:tab w:val="num" w:pos="540"/>
        </w:tabs>
        <w:ind w:left="540" w:hanging="360"/>
      </w:pPr>
      <w:rPr>
        <w:rFonts w:ascii="Times New Roman" w:eastAsia="Times New Roman" w:hAnsi="Times New Roman" w:cs="Times New Roman" w:hint="default"/>
      </w:rPr>
    </w:lvl>
    <w:lvl w:ilvl="1" w:tplc="19C2A11C" w:tentative="1">
      <w:start w:val="1"/>
      <w:numFmt w:val="bullet"/>
      <w:lvlText w:val="o"/>
      <w:lvlJc w:val="left"/>
      <w:pPr>
        <w:tabs>
          <w:tab w:val="num" w:pos="1260"/>
        </w:tabs>
        <w:ind w:left="1260" w:hanging="360"/>
      </w:pPr>
      <w:rPr>
        <w:rFonts w:ascii="Courier New" w:hAnsi="Courier New" w:hint="default"/>
      </w:rPr>
    </w:lvl>
    <w:lvl w:ilvl="2" w:tplc="2752DAB8" w:tentative="1">
      <w:start w:val="1"/>
      <w:numFmt w:val="bullet"/>
      <w:lvlText w:val=""/>
      <w:lvlJc w:val="left"/>
      <w:pPr>
        <w:tabs>
          <w:tab w:val="num" w:pos="1980"/>
        </w:tabs>
        <w:ind w:left="1980" w:hanging="360"/>
      </w:pPr>
      <w:rPr>
        <w:rFonts w:ascii="Wingdings" w:hAnsi="Wingdings" w:hint="default"/>
      </w:rPr>
    </w:lvl>
    <w:lvl w:ilvl="3" w:tplc="757EEA66" w:tentative="1">
      <w:start w:val="1"/>
      <w:numFmt w:val="bullet"/>
      <w:lvlText w:val=""/>
      <w:lvlJc w:val="left"/>
      <w:pPr>
        <w:tabs>
          <w:tab w:val="num" w:pos="2700"/>
        </w:tabs>
        <w:ind w:left="2700" w:hanging="360"/>
      </w:pPr>
      <w:rPr>
        <w:rFonts w:ascii="Symbol" w:hAnsi="Symbol" w:hint="default"/>
      </w:rPr>
    </w:lvl>
    <w:lvl w:ilvl="4" w:tplc="DC8C805E" w:tentative="1">
      <w:start w:val="1"/>
      <w:numFmt w:val="bullet"/>
      <w:lvlText w:val="o"/>
      <w:lvlJc w:val="left"/>
      <w:pPr>
        <w:tabs>
          <w:tab w:val="num" w:pos="3420"/>
        </w:tabs>
        <w:ind w:left="3420" w:hanging="360"/>
      </w:pPr>
      <w:rPr>
        <w:rFonts w:ascii="Courier New" w:hAnsi="Courier New" w:hint="default"/>
      </w:rPr>
    </w:lvl>
    <w:lvl w:ilvl="5" w:tplc="0A50073A" w:tentative="1">
      <w:start w:val="1"/>
      <w:numFmt w:val="bullet"/>
      <w:lvlText w:val=""/>
      <w:lvlJc w:val="left"/>
      <w:pPr>
        <w:tabs>
          <w:tab w:val="num" w:pos="4140"/>
        </w:tabs>
        <w:ind w:left="4140" w:hanging="360"/>
      </w:pPr>
      <w:rPr>
        <w:rFonts w:ascii="Wingdings" w:hAnsi="Wingdings" w:hint="default"/>
      </w:rPr>
    </w:lvl>
    <w:lvl w:ilvl="6" w:tplc="A6523846" w:tentative="1">
      <w:start w:val="1"/>
      <w:numFmt w:val="bullet"/>
      <w:lvlText w:val=""/>
      <w:lvlJc w:val="left"/>
      <w:pPr>
        <w:tabs>
          <w:tab w:val="num" w:pos="4860"/>
        </w:tabs>
        <w:ind w:left="4860" w:hanging="360"/>
      </w:pPr>
      <w:rPr>
        <w:rFonts w:ascii="Symbol" w:hAnsi="Symbol" w:hint="default"/>
      </w:rPr>
    </w:lvl>
    <w:lvl w:ilvl="7" w:tplc="2E20F780" w:tentative="1">
      <w:start w:val="1"/>
      <w:numFmt w:val="bullet"/>
      <w:lvlText w:val="o"/>
      <w:lvlJc w:val="left"/>
      <w:pPr>
        <w:tabs>
          <w:tab w:val="num" w:pos="5580"/>
        </w:tabs>
        <w:ind w:left="5580" w:hanging="360"/>
      </w:pPr>
      <w:rPr>
        <w:rFonts w:ascii="Courier New" w:hAnsi="Courier New" w:hint="default"/>
      </w:rPr>
    </w:lvl>
    <w:lvl w:ilvl="8" w:tplc="9070BA2A"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1">
    <w:nsid w:val="7B5F458F"/>
    <w:multiLevelType w:val="hybridMultilevel"/>
    <w:tmpl w:val="A67A08BC"/>
    <w:lvl w:ilvl="0" w:tplc="51582F52">
      <w:start w:val="1"/>
      <w:numFmt w:val="bullet"/>
      <w:lvlText w:val=""/>
      <w:lvlJc w:val="left"/>
      <w:pPr>
        <w:tabs>
          <w:tab w:val="num" w:pos="1440"/>
        </w:tabs>
        <w:ind w:left="1440" w:hanging="360"/>
      </w:pPr>
      <w:rPr>
        <w:rFonts w:ascii="Wingdings" w:hAnsi="Wingdings" w:hint="default"/>
        <w:sz w:val="16"/>
      </w:rPr>
    </w:lvl>
    <w:lvl w:ilvl="1" w:tplc="C2C0FAD4" w:tentative="1">
      <w:start w:val="1"/>
      <w:numFmt w:val="bullet"/>
      <w:lvlText w:val="o"/>
      <w:lvlJc w:val="left"/>
      <w:pPr>
        <w:tabs>
          <w:tab w:val="num" w:pos="2160"/>
        </w:tabs>
        <w:ind w:left="2160" w:hanging="360"/>
      </w:pPr>
      <w:rPr>
        <w:rFonts w:ascii="Courier New" w:hAnsi="Courier New" w:hint="default"/>
      </w:rPr>
    </w:lvl>
    <w:lvl w:ilvl="2" w:tplc="43F67F6A" w:tentative="1">
      <w:start w:val="1"/>
      <w:numFmt w:val="bullet"/>
      <w:lvlText w:val=""/>
      <w:lvlJc w:val="left"/>
      <w:pPr>
        <w:tabs>
          <w:tab w:val="num" w:pos="2880"/>
        </w:tabs>
        <w:ind w:left="2880" w:hanging="360"/>
      </w:pPr>
      <w:rPr>
        <w:rFonts w:ascii="Wingdings" w:hAnsi="Wingdings" w:hint="default"/>
      </w:rPr>
    </w:lvl>
    <w:lvl w:ilvl="3" w:tplc="A90A54DC" w:tentative="1">
      <w:start w:val="1"/>
      <w:numFmt w:val="bullet"/>
      <w:lvlText w:val=""/>
      <w:lvlJc w:val="left"/>
      <w:pPr>
        <w:tabs>
          <w:tab w:val="num" w:pos="3600"/>
        </w:tabs>
        <w:ind w:left="3600" w:hanging="360"/>
      </w:pPr>
      <w:rPr>
        <w:rFonts w:ascii="Symbol" w:hAnsi="Symbol" w:hint="default"/>
      </w:rPr>
    </w:lvl>
    <w:lvl w:ilvl="4" w:tplc="F82083A4" w:tentative="1">
      <w:start w:val="1"/>
      <w:numFmt w:val="bullet"/>
      <w:lvlText w:val="o"/>
      <w:lvlJc w:val="left"/>
      <w:pPr>
        <w:tabs>
          <w:tab w:val="num" w:pos="4320"/>
        </w:tabs>
        <w:ind w:left="4320" w:hanging="360"/>
      </w:pPr>
      <w:rPr>
        <w:rFonts w:ascii="Courier New" w:hAnsi="Courier New" w:hint="default"/>
      </w:rPr>
    </w:lvl>
    <w:lvl w:ilvl="5" w:tplc="C082EF0C" w:tentative="1">
      <w:start w:val="1"/>
      <w:numFmt w:val="bullet"/>
      <w:lvlText w:val=""/>
      <w:lvlJc w:val="left"/>
      <w:pPr>
        <w:tabs>
          <w:tab w:val="num" w:pos="5040"/>
        </w:tabs>
        <w:ind w:left="5040" w:hanging="360"/>
      </w:pPr>
      <w:rPr>
        <w:rFonts w:ascii="Wingdings" w:hAnsi="Wingdings" w:hint="default"/>
      </w:rPr>
    </w:lvl>
    <w:lvl w:ilvl="6" w:tplc="59E292CE" w:tentative="1">
      <w:start w:val="1"/>
      <w:numFmt w:val="bullet"/>
      <w:lvlText w:val=""/>
      <w:lvlJc w:val="left"/>
      <w:pPr>
        <w:tabs>
          <w:tab w:val="num" w:pos="5760"/>
        </w:tabs>
        <w:ind w:left="5760" w:hanging="360"/>
      </w:pPr>
      <w:rPr>
        <w:rFonts w:ascii="Symbol" w:hAnsi="Symbol" w:hint="default"/>
      </w:rPr>
    </w:lvl>
    <w:lvl w:ilvl="7" w:tplc="5CD24440" w:tentative="1">
      <w:start w:val="1"/>
      <w:numFmt w:val="bullet"/>
      <w:lvlText w:val="o"/>
      <w:lvlJc w:val="left"/>
      <w:pPr>
        <w:tabs>
          <w:tab w:val="num" w:pos="6480"/>
        </w:tabs>
        <w:ind w:left="6480" w:hanging="360"/>
      </w:pPr>
      <w:rPr>
        <w:rFonts w:ascii="Courier New" w:hAnsi="Courier New" w:hint="default"/>
      </w:rPr>
    </w:lvl>
    <w:lvl w:ilvl="8" w:tplc="C94027B2"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1">
    <w:nsid w:val="7E01416F"/>
    <w:multiLevelType w:val="hybridMultilevel"/>
    <w:tmpl w:val="28082F40"/>
    <w:lvl w:ilvl="0" w:tplc="83360C64">
      <w:start w:val="1"/>
      <w:numFmt w:val="bullet"/>
      <w:lvlText w:val=""/>
      <w:lvlJc w:val="left"/>
      <w:pPr>
        <w:tabs>
          <w:tab w:val="num" w:pos="900"/>
        </w:tabs>
        <w:ind w:left="900" w:hanging="360"/>
      </w:pPr>
      <w:rPr>
        <w:rFonts w:ascii="Symbol" w:hAnsi="Symbol" w:hint="default"/>
      </w:rPr>
    </w:lvl>
    <w:lvl w:ilvl="1" w:tplc="9E6AC392" w:tentative="1">
      <w:start w:val="1"/>
      <w:numFmt w:val="bullet"/>
      <w:lvlText w:val="o"/>
      <w:lvlJc w:val="left"/>
      <w:pPr>
        <w:tabs>
          <w:tab w:val="num" w:pos="1620"/>
        </w:tabs>
        <w:ind w:left="1620" w:hanging="360"/>
      </w:pPr>
      <w:rPr>
        <w:rFonts w:ascii="Courier New" w:hAnsi="Courier New" w:hint="default"/>
      </w:rPr>
    </w:lvl>
    <w:lvl w:ilvl="2" w:tplc="650E2C76" w:tentative="1">
      <w:start w:val="1"/>
      <w:numFmt w:val="bullet"/>
      <w:lvlText w:val=""/>
      <w:lvlJc w:val="left"/>
      <w:pPr>
        <w:tabs>
          <w:tab w:val="num" w:pos="2340"/>
        </w:tabs>
        <w:ind w:left="2340" w:hanging="360"/>
      </w:pPr>
      <w:rPr>
        <w:rFonts w:ascii="Wingdings" w:hAnsi="Wingdings" w:hint="default"/>
      </w:rPr>
    </w:lvl>
    <w:lvl w:ilvl="3" w:tplc="237E00D0" w:tentative="1">
      <w:start w:val="1"/>
      <w:numFmt w:val="bullet"/>
      <w:lvlText w:val=""/>
      <w:lvlJc w:val="left"/>
      <w:pPr>
        <w:tabs>
          <w:tab w:val="num" w:pos="3060"/>
        </w:tabs>
        <w:ind w:left="3060" w:hanging="360"/>
      </w:pPr>
      <w:rPr>
        <w:rFonts w:ascii="Symbol" w:hAnsi="Symbol" w:hint="default"/>
      </w:rPr>
    </w:lvl>
    <w:lvl w:ilvl="4" w:tplc="62C457A8" w:tentative="1">
      <w:start w:val="1"/>
      <w:numFmt w:val="bullet"/>
      <w:lvlText w:val="o"/>
      <w:lvlJc w:val="left"/>
      <w:pPr>
        <w:tabs>
          <w:tab w:val="num" w:pos="3780"/>
        </w:tabs>
        <w:ind w:left="3780" w:hanging="360"/>
      </w:pPr>
      <w:rPr>
        <w:rFonts w:ascii="Courier New" w:hAnsi="Courier New" w:hint="default"/>
      </w:rPr>
    </w:lvl>
    <w:lvl w:ilvl="5" w:tplc="21CA936A" w:tentative="1">
      <w:start w:val="1"/>
      <w:numFmt w:val="bullet"/>
      <w:lvlText w:val=""/>
      <w:lvlJc w:val="left"/>
      <w:pPr>
        <w:tabs>
          <w:tab w:val="num" w:pos="4500"/>
        </w:tabs>
        <w:ind w:left="4500" w:hanging="360"/>
      </w:pPr>
      <w:rPr>
        <w:rFonts w:ascii="Wingdings" w:hAnsi="Wingdings" w:hint="default"/>
      </w:rPr>
    </w:lvl>
    <w:lvl w:ilvl="6" w:tplc="EE060ECC" w:tentative="1">
      <w:start w:val="1"/>
      <w:numFmt w:val="bullet"/>
      <w:lvlText w:val=""/>
      <w:lvlJc w:val="left"/>
      <w:pPr>
        <w:tabs>
          <w:tab w:val="num" w:pos="5220"/>
        </w:tabs>
        <w:ind w:left="5220" w:hanging="360"/>
      </w:pPr>
      <w:rPr>
        <w:rFonts w:ascii="Symbol" w:hAnsi="Symbol" w:hint="default"/>
      </w:rPr>
    </w:lvl>
    <w:lvl w:ilvl="7" w:tplc="26B43C52" w:tentative="1">
      <w:start w:val="1"/>
      <w:numFmt w:val="bullet"/>
      <w:lvlText w:val="o"/>
      <w:lvlJc w:val="left"/>
      <w:pPr>
        <w:tabs>
          <w:tab w:val="num" w:pos="5940"/>
        </w:tabs>
        <w:ind w:left="5940" w:hanging="360"/>
      </w:pPr>
      <w:rPr>
        <w:rFonts w:ascii="Courier New" w:hAnsi="Courier New" w:hint="default"/>
      </w:rPr>
    </w:lvl>
    <w:lvl w:ilvl="8" w:tplc="93EA1A88" w:tentative="1">
      <w:start w:val="1"/>
      <w:numFmt w:val="bullet"/>
      <w:lvlText w:val=""/>
      <w:lvlJc w:val="left"/>
      <w:pPr>
        <w:tabs>
          <w:tab w:val="num" w:pos="6660"/>
        </w:tabs>
        <w:ind w:left="6660" w:hanging="360"/>
      </w:pPr>
      <w:rPr>
        <w:rFonts w:ascii="Wingdings" w:hAnsi="Wingdings" w:hint="default"/>
      </w:rPr>
    </w:lvl>
  </w:abstractNum>
  <w:num w:numId="1">
    <w:abstractNumId w:val="26"/>
  </w:num>
  <w:num w:numId="2">
    <w:abstractNumId w:val="17"/>
  </w:num>
  <w:num w:numId="3">
    <w:abstractNumId w:val="24"/>
  </w:num>
  <w:num w:numId="4">
    <w:abstractNumId w:val="1"/>
  </w:num>
  <w:num w:numId="5">
    <w:abstractNumId w:val="28"/>
  </w:num>
  <w:num w:numId="6">
    <w:abstractNumId w:val="18"/>
  </w:num>
  <w:num w:numId="7">
    <w:abstractNumId w:val="19"/>
  </w:num>
  <w:num w:numId="8">
    <w:abstractNumId w:val="15"/>
  </w:num>
  <w:num w:numId="9">
    <w:abstractNumId w:val="23"/>
  </w:num>
  <w:num w:numId="10">
    <w:abstractNumId w:val="11"/>
  </w:num>
  <w:num w:numId="11">
    <w:abstractNumId w:val="22"/>
  </w:num>
  <w:num w:numId="12">
    <w:abstractNumId w:val="27"/>
  </w:num>
  <w:num w:numId="13">
    <w:abstractNumId w:val="9"/>
  </w:num>
  <w:num w:numId="14">
    <w:abstractNumId w:val="3"/>
  </w:num>
  <w:num w:numId="15">
    <w:abstractNumId w:val="6"/>
  </w:num>
  <w:num w:numId="16">
    <w:abstractNumId w:val="21"/>
  </w:num>
  <w:num w:numId="17">
    <w:abstractNumId w:val="7"/>
  </w:num>
  <w:num w:numId="18">
    <w:abstractNumId w:val="14"/>
  </w:num>
  <w:num w:numId="19">
    <w:abstractNumId w:val="0"/>
  </w:num>
  <w:num w:numId="20">
    <w:abstractNumId w:val="20"/>
  </w:num>
  <w:num w:numId="21">
    <w:abstractNumId w:val="25"/>
  </w:num>
  <w:num w:numId="22">
    <w:abstractNumId w:val="8"/>
  </w:num>
  <w:num w:numId="23">
    <w:abstractNumId w:val="4"/>
  </w:num>
  <w:num w:numId="24">
    <w:abstractNumId w:val="13"/>
  </w:num>
  <w:num w:numId="25">
    <w:abstractNumId w:val="10"/>
  </w:num>
  <w:num w:numId="26">
    <w:abstractNumId w:val="2"/>
  </w:num>
  <w:num w:numId="27">
    <w:abstractNumId w:val="5"/>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3A"/>
    <w:rsid w:val="00011AF0"/>
    <w:rsid w:val="00016168"/>
    <w:rsid w:val="0001695B"/>
    <w:rsid w:val="00020F7A"/>
    <w:rsid w:val="000514BA"/>
    <w:rsid w:val="00057E27"/>
    <w:rsid w:val="000635DA"/>
    <w:rsid w:val="0007029F"/>
    <w:rsid w:val="00096E94"/>
    <w:rsid w:val="000A7D3F"/>
    <w:rsid w:val="000B21AB"/>
    <w:rsid w:val="000D3BAE"/>
    <w:rsid w:val="000E606A"/>
    <w:rsid w:val="000E6D98"/>
    <w:rsid w:val="000F164C"/>
    <w:rsid w:val="0015098E"/>
    <w:rsid w:val="00153E18"/>
    <w:rsid w:val="001557C3"/>
    <w:rsid w:val="001720E4"/>
    <w:rsid w:val="001C6C59"/>
    <w:rsid w:val="002235D3"/>
    <w:rsid w:val="00224462"/>
    <w:rsid w:val="00226243"/>
    <w:rsid w:val="002349DA"/>
    <w:rsid w:val="0024434A"/>
    <w:rsid w:val="00271820"/>
    <w:rsid w:val="00275F82"/>
    <w:rsid w:val="002828F0"/>
    <w:rsid w:val="002A31D0"/>
    <w:rsid w:val="002A7558"/>
    <w:rsid w:val="003070F2"/>
    <w:rsid w:val="00332839"/>
    <w:rsid w:val="0034406A"/>
    <w:rsid w:val="00344779"/>
    <w:rsid w:val="00347B26"/>
    <w:rsid w:val="00350C7A"/>
    <w:rsid w:val="00357E8D"/>
    <w:rsid w:val="003659F9"/>
    <w:rsid w:val="00373E1C"/>
    <w:rsid w:val="0037754C"/>
    <w:rsid w:val="00384468"/>
    <w:rsid w:val="003925F2"/>
    <w:rsid w:val="00393CE1"/>
    <w:rsid w:val="003A1223"/>
    <w:rsid w:val="003A74E0"/>
    <w:rsid w:val="003B1EE7"/>
    <w:rsid w:val="003B69B8"/>
    <w:rsid w:val="003D41AD"/>
    <w:rsid w:val="003E0CBB"/>
    <w:rsid w:val="00402C57"/>
    <w:rsid w:val="00404CFA"/>
    <w:rsid w:val="00411CA9"/>
    <w:rsid w:val="00420403"/>
    <w:rsid w:val="00437D8C"/>
    <w:rsid w:val="00446464"/>
    <w:rsid w:val="00470AA4"/>
    <w:rsid w:val="00484B8B"/>
    <w:rsid w:val="004875A7"/>
    <w:rsid w:val="004B7944"/>
    <w:rsid w:val="0050759F"/>
    <w:rsid w:val="00534735"/>
    <w:rsid w:val="0053613A"/>
    <w:rsid w:val="00541A57"/>
    <w:rsid w:val="005521CA"/>
    <w:rsid w:val="00575DBE"/>
    <w:rsid w:val="0057665C"/>
    <w:rsid w:val="005806ED"/>
    <w:rsid w:val="00593985"/>
    <w:rsid w:val="005A7FB9"/>
    <w:rsid w:val="005B1359"/>
    <w:rsid w:val="005B74FC"/>
    <w:rsid w:val="005C697F"/>
    <w:rsid w:val="005D0C33"/>
    <w:rsid w:val="005D5479"/>
    <w:rsid w:val="00632459"/>
    <w:rsid w:val="00634808"/>
    <w:rsid w:val="00652EB4"/>
    <w:rsid w:val="00656138"/>
    <w:rsid w:val="00670317"/>
    <w:rsid w:val="006972FE"/>
    <w:rsid w:val="006B0B83"/>
    <w:rsid w:val="006B6112"/>
    <w:rsid w:val="006C44DB"/>
    <w:rsid w:val="006E5970"/>
    <w:rsid w:val="00701DB4"/>
    <w:rsid w:val="00724B51"/>
    <w:rsid w:val="007520CA"/>
    <w:rsid w:val="007B27AD"/>
    <w:rsid w:val="007E7DB6"/>
    <w:rsid w:val="007F236F"/>
    <w:rsid w:val="007F5EB1"/>
    <w:rsid w:val="0081073B"/>
    <w:rsid w:val="0082748F"/>
    <w:rsid w:val="00837FFE"/>
    <w:rsid w:val="00841ED2"/>
    <w:rsid w:val="008512AC"/>
    <w:rsid w:val="00865510"/>
    <w:rsid w:val="00880C2C"/>
    <w:rsid w:val="00885A94"/>
    <w:rsid w:val="0088633E"/>
    <w:rsid w:val="008B30CE"/>
    <w:rsid w:val="008B52CB"/>
    <w:rsid w:val="008D02F7"/>
    <w:rsid w:val="008D1107"/>
    <w:rsid w:val="008D29F7"/>
    <w:rsid w:val="008D3993"/>
    <w:rsid w:val="009370E2"/>
    <w:rsid w:val="009439CC"/>
    <w:rsid w:val="00983DB5"/>
    <w:rsid w:val="009C44A2"/>
    <w:rsid w:val="009C6DF5"/>
    <w:rsid w:val="00A20090"/>
    <w:rsid w:val="00A2597E"/>
    <w:rsid w:val="00A352E2"/>
    <w:rsid w:val="00A52971"/>
    <w:rsid w:val="00A64795"/>
    <w:rsid w:val="00A80D28"/>
    <w:rsid w:val="00A90C71"/>
    <w:rsid w:val="00AB14D2"/>
    <w:rsid w:val="00AD3615"/>
    <w:rsid w:val="00AD4824"/>
    <w:rsid w:val="00AE0816"/>
    <w:rsid w:val="00AE6087"/>
    <w:rsid w:val="00AE7D71"/>
    <w:rsid w:val="00AF6F5E"/>
    <w:rsid w:val="00B0210C"/>
    <w:rsid w:val="00B0424F"/>
    <w:rsid w:val="00B20AC3"/>
    <w:rsid w:val="00B42183"/>
    <w:rsid w:val="00B447D5"/>
    <w:rsid w:val="00B55C05"/>
    <w:rsid w:val="00B94AE0"/>
    <w:rsid w:val="00BB7105"/>
    <w:rsid w:val="00BE1544"/>
    <w:rsid w:val="00C00A12"/>
    <w:rsid w:val="00C03A12"/>
    <w:rsid w:val="00C1614A"/>
    <w:rsid w:val="00C42339"/>
    <w:rsid w:val="00C650BA"/>
    <w:rsid w:val="00C67AC9"/>
    <w:rsid w:val="00C760B9"/>
    <w:rsid w:val="00C86F5F"/>
    <w:rsid w:val="00CA661F"/>
    <w:rsid w:val="00CB0709"/>
    <w:rsid w:val="00CB7CE2"/>
    <w:rsid w:val="00CC00F8"/>
    <w:rsid w:val="00CC620D"/>
    <w:rsid w:val="00CE2A1A"/>
    <w:rsid w:val="00CF20B0"/>
    <w:rsid w:val="00CF41AA"/>
    <w:rsid w:val="00D057D3"/>
    <w:rsid w:val="00D20104"/>
    <w:rsid w:val="00D66D7A"/>
    <w:rsid w:val="00D7285B"/>
    <w:rsid w:val="00D77537"/>
    <w:rsid w:val="00D80659"/>
    <w:rsid w:val="00D90E03"/>
    <w:rsid w:val="00D93FE4"/>
    <w:rsid w:val="00D9709E"/>
    <w:rsid w:val="00DA405E"/>
    <w:rsid w:val="00DB3A89"/>
    <w:rsid w:val="00DB74E2"/>
    <w:rsid w:val="00DE6F1D"/>
    <w:rsid w:val="00DE7633"/>
    <w:rsid w:val="00E25FCD"/>
    <w:rsid w:val="00E45C22"/>
    <w:rsid w:val="00E62104"/>
    <w:rsid w:val="00EE0352"/>
    <w:rsid w:val="00EE4D94"/>
    <w:rsid w:val="00EE64D7"/>
    <w:rsid w:val="00EE6679"/>
    <w:rsid w:val="00EE6C67"/>
    <w:rsid w:val="00EE6CD1"/>
    <w:rsid w:val="00EF2C86"/>
    <w:rsid w:val="00F15508"/>
    <w:rsid w:val="00F16E76"/>
    <w:rsid w:val="00F44A40"/>
    <w:rsid w:val="00F45C15"/>
    <w:rsid w:val="00F50090"/>
    <w:rsid w:val="00F618CD"/>
    <w:rsid w:val="00F65952"/>
    <w:rsid w:val="00F669FB"/>
    <w:rsid w:val="00F87331"/>
    <w:rsid w:val="00F94FB1"/>
    <w:rsid w:val="00FA06A8"/>
    <w:rsid w:val="00FB5CF8"/>
    <w:rsid w:val="00FD38E5"/>
    <w:rsid w:val="00FD4918"/>
    <w:rsid w:val="00FE4510"/>
    <w:rsid w:val="00FE4AB1"/>
    <w:rsid w:val="00FF2C75"/>
    <w:rsid w:val="00FF4E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15:docId w15:val="{D6CD8153-276A-4661-A1B2-DB6D43C5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Titre1">
    <w:name w:val="heading 1"/>
    <w:basedOn w:val="Normal"/>
    <w:next w:val="Normal"/>
    <w:qFormat/>
    <w:pPr>
      <w:keepNext/>
      <w:ind w:left="180" w:right="-1368" w:firstLine="540"/>
      <w:outlineLvl w:val="0"/>
    </w:pPr>
    <w:rPr>
      <w:b/>
      <w:bCs/>
      <w:lang w:val="fr-FR"/>
    </w:rPr>
  </w:style>
  <w:style w:type="paragraph" w:styleId="Titre2">
    <w:name w:val="heading 2"/>
    <w:basedOn w:val="Normal"/>
    <w:next w:val="Normal"/>
    <w:qFormat/>
    <w:pPr>
      <w:keepNext/>
      <w:ind w:left="180" w:right="-1368"/>
      <w:outlineLvl w:val="1"/>
    </w:pPr>
    <w:rPr>
      <w:b/>
      <w:bCs/>
      <w:lang w:val="fr-FR"/>
    </w:rPr>
  </w:style>
  <w:style w:type="paragraph" w:styleId="Titre3">
    <w:name w:val="heading 3"/>
    <w:basedOn w:val="Normal"/>
    <w:next w:val="Normal"/>
    <w:qFormat/>
    <w:pPr>
      <w:keepNext/>
      <w:autoSpaceDE w:val="0"/>
      <w:autoSpaceDN w:val="0"/>
      <w:adjustRightInd w:val="0"/>
      <w:spacing w:line="672" w:lineRule="auto"/>
      <w:ind w:right="-108"/>
      <w:outlineLvl w:val="2"/>
    </w:pPr>
    <w:rPr>
      <w:b/>
      <w:bCs/>
      <w:sz w:val="22"/>
      <w:szCs w:val="22"/>
      <w:lang w:val="fr-FR"/>
    </w:rPr>
  </w:style>
  <w:style w:type="paragraph" w:styleId="Titre4">
    <w:name w:val="heading 4"/>
    <w:basedOn w:val="Normal"/>
    <w:next w:val="Normal"/>
    <w:link w:val="Titre4Car"/>
    <w:qFormat/>
    <w:pPr>
      <w:keepNext/>
      <w:tabs>
        <w:tab w:val="left" w:pos="0"/>
      </w:tabs>
      <w:suppressAutoHyphens/>
      <w:jc w:val="both"/>
      <w:outlineLvl w:val="3"/>
    </w:pPr>
    <w:rPr>
      <w:rFonts w:ascii="Comic Sans MS" w:hAnsi="Comic Sans MS"/>
      <w:b/>
      <w:bCs/>
      <w:spacing w:val="-3"/>
      <w:sz w:val="20"/>
      <w:lang w:val="fr-FR"/>
    </w:rPr>
  </w:style>
  <w:style w:type="paragraph" w:styleId="Titre5">
    <w:name w:val="heading 5"/>
    <w:basedOn w:val="Normal"/>
    <w:next w:val="Normal"/>
    <w:link w:val="Titre5Car"/>
    <w:qFormat/>
    <w:pPr>
      <w:keepNext/>
      <w:suppressAutoHyphens/>
      <w:jc w:val="center"/>
      <w:outlineLvl w:val="4"/>
    </w:pPr>
    <w:rPr>
      <w:b/>
      <w:spacing w:val="-4"/>
      <w:sz w:val="28"/>
      <w:lang w:val="fr-FR"/>
    </w:rPr>
  </w:style>
  <w:style w:type="paragraph" w:styleId="Titre6">
    <w:name w:val="heading 6"/>
    <w:basedOn w:val="Normal"/>
    <w:next w:val="Normal"/>
    <w:qFormat/>
    <w:pPr>
      <w:keepNext/>
      <w:jc w:val="center"/>
      <w:outlineLvl w:val="5"/>
    </w:pPr>
    <w:rPr>
      <w:b/>
      <w:bCs/>
      <w:sz w:val="28"/>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ind w:left="180" w:right="-108"/>
    </w:pPr>
    <w:rPr>
      <w:lang w:val="fr-FR"/>
    </w:rPr>
  </w:style>
  <w:style w:type="paragraph" w:styleId="Retraitcorpsdetexte">
    <w:name w:val="Body Text Indent"/>
    <w:basedOn w:val="Normal"/>
    <w:pPr>
      <w:autoSpaceDE w:val="0"/>
      <w:autoSpaceDN w:val="0"/>
      <w:adjustRightInd w:val="0"/>
      <w:spacing w:before="200" w:line="216" w:lineRule="auto"/>
      <w:ind w:left="960"/>
    </w:pPr>
    <w:rPr>
      <w:sz w:val="22"/>
      <w:szCs w:val="22"/>
      <w:lang w:val="fr-FR"/>
    </w:rPr>
  </w:style>
  <w:style w:type="paragraph" w:styleId="Corpsdetexte">
    <w:name w:val="Body Text"/>
    <w:basedOn w:val="Normal"/>
    <w:pPr>
      <w:autoSpaceDE w:val="0"/>
      <w:autoSpaceDN w:val="0"/>
      <w:adjustRightInd w:val="0"/>
      <w:spacing w:line="672" w:lineRule="auto"/>
      <w:ind w:right="-108"/>
    </w:pPr>
    <w:rPr>
      <w:sz w:val="22"/>
      <w:szCs w:val="22"/>
      <w:lang w:val="fr-FR"/>
    </w:rPr>
  </w:style>
  <w:style w:type="paragraph" w:styleId="Corpsdetexte2">
    <w:name w:val="Body Text 2"/>
    <w:basedOn w:val="Normal"/>
    <w:pPr>
      <w:ind w:right="-108"/>
    </w:pPr>
    <w:rPr>
      <w:b/>
      <w:bCs/>
      <w:sz w:val="32"/>
      <w:lang w:val="fr-FR"/>
    </w:rPr>
  </w:style>
  <w:style w:type="paragraph" w:styleId="Corpsdetexte3">
    <w:name w:val="Body Text 3"/>
    <w:basedOn w:val="Normal"/>
    <w:link w:val="Corpsdetexte3Car"/>
    <w:pPr>
      <w:autoSpaceDE w:val="0"/>
      <w:autoSpaceDN w:val="0"/>
      <w:adjustRightInd w:val="0"/>
      <w:spacing w:before="180" w:line="336" w:lineRule="auto"/>
      <w:jc w:val="both"/>
    </w:pPr>
    <w:rPr>
      <w:rFonts w:ascii="Antique Olive (W1)" w:hAnsi="Antique Olive (W1)" w:cs="Antique Olive (W1)"/>
      <w:sz w:val="20"/>
      <w:szCs w:val="16"/>
      <w:lang w:val="fr-FR"/>
    </w:rPr>
  </w:style>
  <w:style w:type="paragraph" w:customStyle="1" w:styleId="Correctionautomatique">
    <w:name w:val="Correction automatique"/>
    <w:rPr>
      <w:sz w:val="24"/>
      <w:szCs w:val="24"/>
      <w:lang w:val="fr-FR" w:eastAsia="fr-FR"/>
    </w:rPr>
  </w:style>
  <w:style w:type="paragraph" w:styleId="Retraitcorpsdetexte2">
    <w:name w:val="Body Text Indent 2"/>
    <w:basedOn w:val="Normal"/>
    <w:pPr>
      <w:autoSpaceDE w:val="0"/>
      <w:autoSpaceDN w:val="0"/>
      <w:adjustRightInd w:val="0"/>
      <w:spacing w:before="200" w:line="336" w:lineRule="auto"/>
      <w:ind w:firstLine="1260"/>
      <w:jc w:val="both"/>
    </w:pPr>
    <w:rPr>
      <w:rFonts w:ascii="Antique Olive (W1)" w:hAnsi="Antique Olive (W1)" w:cs="Antique Olive (W1)"/>
      <w:sz w:val="20"/>
      <w:szCs w:val="16"/>
      <w:lang w:val="fr-FR"/>
    </w:rPr>
  </w:style>
  <w:style w:type="paragraph" w:styleId="Retraitcorpsdetexte3">
    <w:name w:val="Body Text Indent 3"/>
    <w:basedOn w:val="Normal"/>
    <w:link w:val="Retraitcorpsdetexte3Car"/>
    <w:pPr>
      <w:tabs>
        <w:tab w:val="left" w:pos="0"/>
        <w:tab w:val="left" w:pos="720"/>
        <w:tab w:val="left" w:pos="1440"/>
        <w:tab w:val="left" w:pos="2160"/>
      </w:tabs>
      <w:suppressAutoHyphens/>
      <w:ind w:left="1440" w:hanging="1440"/>
      <w:outlineLvl w:val="0"/>
    </w:pPr>
    <w:rPr>
      <w:lang w:val="fr-FR"/>
    </w:rPr>
  </w:style>
  <w:style w:type="character" w:styleId="Marquedecommentaire">
    <w:name w:val="annotation reference"/>
    <w:semiHidden/>
    <w:rPr>
      <w:sz w:val="16"/>
    </w:rPr>
  </w:style>
  <w:style w:type="paragraph" w:styleId="Commentaire">
    <w:name w:val="annotation text"/>
    <w:basedOn w:val="Normal"/>
    <w:semiHidden/>
    <w:rPr>
      <w:sz w:val="20"/>
      <w:lang w:val="fr-FR" w:eastAsia="fr-FR"/>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153"/>
        <w:tab w:val="right" w:pos="8306"/>
      </w:tabs>
    </w:pPr>
  </w:style>
  <w:style w:type="paragraph" w:styleId="Notedebasdepage">
    <w:name w:val="footnote text"/>
    <w:basedOn w:val="Normal"/>
    <w:link w:val="NotedebasdepageCar"/>
    <w:uiPriority w:val="99"/>
    <w:semiHidden/>
    <w:rPr>
      <w:sz w:val="20"/>
      <w:szCs w:val="20"/>
    </w:rPr>
  </w:style>
  <w:style w:type="character" w:styleId="Appelnotedebasdep">
    <w:name w:val="footnote reference"/>
    <w:uiPriority w:val="99"/>
    <w:semiHidden/>
    <w:rPr>
      <w:vertAlign w:val="superscript"/>
    </w:rPr>
  </w:style>
  <w:style w:type="character" w:customStyle="1" w:styleId="Corpsdetexte3Car">
    <w:name w:val="Corps de texte 3 Car"/>
    <w:link w:val="Corpsdetexte3"/>
    <w:rsid w:val="001557C3"/>
    <w:rPr>
      <w:rFonts w:ascii="Antique Olive (W1)" w:hAnsi="Antique Olive (W1)" w:cs="Antique Olive (W1)"/>
      <w:szCs w:val="16"/>
      <w:lang w:val="fr-FR" w:eastAsia="en-US"/>
    </w:rPr>
  </w:style>
  <w:style w:type="paragraph" w:styleId="Textedebulles">
    <w:name w:val="Balloon Text"/>
    <w:basedOn w:val="Normal"/>
    <w:link w:val="TextedebullesCar"/>
    <w:rsid w:val="00D93FE4"/>
    <w:rPr>
      <w:rFonts w:ascii="Segoe UI" w:hAnsi="Segoe UI" w:cs="Segoe UI"/>
      <w:sz w:val="18"/>
      <w:szCs w:val="18"/>
    </w:rPr>
  </w:style>
  <w:style w:type="character" w:customStyle="1" w:styleId="TextedebullesCar">
    <w:name w:val="Texte de bulles Car"/>
    <w:link w:val="Textedebulles"/>
    <w:rsid w:val="00D93FE4"/>
    <w:rPr>
      <w:rFonts w:ascii="Segoe UI" w:hAnsi="Segoe UI" w:cs="Segoe UI"/>
      <w:sz w:val="18"/>
      <w:szCs w:val="18"/>
      <w:lang w:val="en-GB" w:eastAsia="en-US"/>
    </w:rPr>
  </w:style>
  <w:style w:type="character" w:customStyle="1" w:styleId="Retraitcorpsdetexte3Car">
    <w:name w:val="Retrait corps de texte 3 Car"/>
    <w:link w:val="Retraitcorpsdetexte3"/>
    <w:rsid w:val="00CA661F"/>
    <w:rPr>
      <w:sz w:val="24"/>
      <w:szCs w:val="24"/>
      <w:lang w:val="fr-FR" w:eastAsia="en-US"/>
    </w:rPr>
  </w:style>
  <w:style w:type="character" w:customStyle="1" w:styleId="Titre4Car">
    <w:name w:val="Titre 4 Car"/>
    <w:basedOn w:val="Policepardfaut"/>
    <w:link w:val="Titre4"/>
    <w:rsid w:val="00CE2A1A"/>
    <w:rPr>
      <w:rFonts w:ascii="Comic Sans MS" w:hAnsi="Comic Sans MS"/>
      <w:b/>
      <w:bCs/>
      <w:spacing w:val="-3"/>
      <w:szCs w:val="24"/>
      <w:lang w:val="fr-FR" w:eastAsia="en-US"/>
    </w:rPr>
  </w:style>
  <w:style w:type="character" w:customStyle="1" w:styleId="Titre5Car">
    <w:name w:val="Titre 5 Car"/>
    <w:basedOn w:val="Policepardfaut"/>
    <w:link w:val="Titre5"/>
    <w:rsid w:val="00CE2A1A"/>
    <w:rPr>
      <w:b/>
      <w:spacing w:val="-4"/>
      <w:sz w:val="28"/>
      <w:szCs w:val="24"/>
      <w:lang w:val="fr-FR" w:eastAsia="en-US"/>
    </w:rPr>
  </w:style>
  <w:style w:type="paragraph" w:styleId="Paragraphedeliste">
    <w:name w:val="List Paragraph"/>
    <w:basedOn w:val="Normal"/>
    <w:uiPriority w:val="34"/>
    <w:qFormat/>
    <w:rsid w:val="00FE4510"/>
    <w:pPr>
      <w:ind w:left="720"/>
      <w:contextualSpacing/>
    </w:pPr>
  </w:style>
  <w:style w:type="character" w:customStyle="1" w:styleId="NotedebasdepageCar">
    <w:name w:val="Note de bas de page Car"/>
    <w:basedOn w:val="Policepardfaut"/>
    <w:link w:val="Notedebasdepage"/>
    <w:uiPriority w:val="99"/>
    <w:semiHidden/>
    <w:rsid w:val="00B55C0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1116">
      <w:bodyDiv w:val="1"/>
      <w:marLeft w:val="0"/>
      <w:marRight w:val="0"/>
      <w:marTop w:val="0"/>
      <w:marBottom w:val="0"/>
      <w:divBdr>
        <w:top w:val="none" w:sz="0" w:space="0" w:color="auto"/>
        <w:left w:val="none" w:sz="0" w:space="0" w:color="auto"/>
        <w:bottom w:val="none" w:sz="0" w:space="0" w:color="auto"/>
        <w:right w:val="none" w:sz="0" w:space="0" w:color="auto"/>
      </w:divBdr>
    </w:div>
    <w:div w:id="451175855">
      <w:bodyDiv w:val="1"/>
      <w:marLeft w:val="0"/>
      <w:marRight w:val="0"/>
      <w:marTop w:val="0"/>
      <w:marBottom w:val="0"/>
      <w:divBdr>
        <w:top w:val="none" w:sz="0" w:space="0" w:color="auto"/>
        <w:left w:val="none" w:sz="0" w:space="0" w:color="auto"/>
        <w:bottom w:val="none" w:sz="0" w:space="0" w:color="auto"/>
        <w:right w:val="none" w:sz="0" w:space="0" w:color="auto"/>
      </w:divBdr>
    </w:div>
    <w:div w:id="604656553">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
    <w:div w:id="1569607599">
      <w:bodyDiv w:val="1"/>
      <w:marLeft w:val="0"/>
      <w:marRight w:val="0"/>
      <w:marTop w:val="0"/>
      <w:marBottom w:val="0"/>
      <w:divBdr>
        <w:top w:val="none" w:sz="0" w:space="0" w:color="auto"/>
        <w:left w:val="none" w:sz="0" w:space="0" w:color="auto"/>
        <w:bottom w:val="none" w:sz="0" w:space="0" w:color="auto"/>
        <w:right w:val="none" w:sz="0" w:space="0" w:color="auto"/>
      </w:divBdr>
    </w:div>
    <w:div w:id="1727144115">
      <w:bodyDiv w:val="1"/>
      <w:marLeft w:val="0"/>
      <w:marRight w:val="0"/>
      <w:marTop w:val="0"/>
      <w:marBottom w:val="0"/>
      <w:divBdr>
        <w:top w:val="none" w:sz="0" w:space="0" w:color="auto"/>
        <w:left w:val="none" w:sz="0" w:space="0" w:color="auto"/>
        <w:bottom w:val="none" w:sz="0" w:space="0" w:color="auto"/>
        <w:right w:val="none" w:sz="0" w:space="0" w:color="auto"/>
      </w:divBdr>
    </w:div>
    <w:div w:id="1751926748">
      <w:bodyDiv w:val="1"/>
      <w:marLeft w:val="0"/>
      <w:marRight w:val="0"/>
      <w:marTop w:val="0"/>
      <w:marBottom w:val="0"/>
      <w:divBdr>
        <w:top w:val="none" w:sz="0" w:space="0" w:color="auto"/>
        <w:left w:val="none" w:sz="0" w:space="0" w:color="auto"/>
        <w:bottom w:val="none" w:sz="0" w:space="0" w:color="auto"/>
        <w:right w:val="none" w:sz="0" w:space="0" w:color="auto"/>
      </w:divBdr>
    </w:div>
    <w:div w:id="20872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06CB-09D3-4A1C-A2FB-CBC201F0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8651</Words>
  <Characters>46464</Characters>
  <Application>Microsoft Office Word</Application>
  <DocSecurity>0</DocSecurity>
  <Lines>387</Lines>
  <Paragraphs>110</Paragraphs>
  <ScaleCrop>false</ScaleCrop>
  <HeadingPairs>
    <vt:vector size="2" baseType="variant">
      <vt:variant>
        <vt:lpstr>Titre</vt:lpstr>
      </vt:variant>
      <vt:variant>
        <vt:i4>1</vt:i4>
      </vt:variant>
    </vt:vector>
  </HeadingPairs>
  <TitlesOfParts>
    <vt:vector size="1" baseType="lpstr">
      <vt:lpstr>N°             3ème CHAMBRE              JUGEMENT DU  22 septembre 2004</vt:lpstr>
    </vt:vector>
  </TitlesOfParts>
  <Company/>
  <LinksUpToDate>false</LinksUpToDate>
  <CharactersWithSpaces>55005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3ème CHAMBRE              JUGEMENT DU  22 septembre 2004</dc:title>
  <dc:subject/>
  <dc:creator>Denis Maréchal</dc:creator>
  <cp:keywords/>
  <dc:description/>
  <cp:lastModifiedBy>Maréchal Denis</cp:lastModifiedBy>
  <cp:revision>3</cp:revision>
  <cp:lastPrinted>2020-01-07T10:28:00Z</cp:lastPrinted>
  <dcterms:created xsi:type="dcterms:W3CDTF">2022-04-26T09:43:00Z</dcterms:created>
  <dcterms:modified xsi:type="dcterms:W3CDTF">2022-04-29T08:15:00Z</dcterms:modified>
</cp:coreProperties>
</file>